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79A86282" w:rsidR="00F92268" w:rsidRPr="00FF66BF" w:rsidRDefault="00913253" w:rsidP="00F246C7">
            <w:pPr>
              <w:pStyle w:val="RefTableHeader"/>
            </w:pPr>
            <w:r w:rsidRPr="00913253">
              <w:t>4378-A</w:t>
            </w:r>
          </w:p>
        </w:tc>
      </w:tr>
    </w:tbl>
    <w:p w14:paraId="74FBA5B4" w14:textId="77777777" w:rsidR="00051356" w:rsidRDefault="00051356" w:rsidP="00A672B3">
      <w:pPr>
        <w:pStyle w:val="BodyText"/>
        <w:rPr>
          <w:b/>
          <w:bCs/>
          <w:sz w:val="16"/>
          <w:szCs w:val="16"/>
        </w:rPr>
        <w:sectPr w:rsidR="00051356" w:rsidSect="004D5979">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99"/>
        </w:sectPr>
      </w:pPr>
    </w:p>
    <w:p w14:paraId="3F4DE49F" w14:textId="18B196D5" w:rsidR="004B15BB" w:rsidRPr="00BD1CC1" w:rsidRDefault="00C50D69" w:rsidP="007E5C16">
      <w:pPr>
        <w:pStyle w:val="Heading1"/>
      </w:pPr>
      <w:r w:rsidRPr="00C50D69">
        <w:t>Specialty Guideline Management</w:t>
      </w:r>
      <w:r w:rsidR="008C54D9" w:rsidRPr="00BD1CC1">
        <w:br/>
      </w:r>
      <w:r w:rsidRPr="00C50D69">
        <w:t>Imcivree</w:t>
      </w:r>
    </w:p>
    <w:p w14:paraId="78861C92" w14:textId="60048E19" w:rsidR="00203468" w:rsidRPr="00BD1CC1" w:rsidRDefault="00C64534" w:rsidP="008E0F0D">
      <w:pPr>
        <w:pStyle w:val="Heading2"/>
      </w:pPr>
      <w:r w:rsidRPr="00BD1CC1">
        <w:t xml:space="preserve">Products Referenced by this </w:t>
      </w:r>
      <w:r w:rsidR="00501602" w:rsidRPr="00BD1CC1">
        <w:t>Document</w:t>
      </w:r>
    </w:p>
    <w:p w14:paraId="5455152B" w14:textId="6FF41788"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8944C3" w:rsidRPr="008944C3">
        <w:t xml:space="preserve">Over-the-counter (OTC)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1966655D" w:rsidR="00585FFF" w:rsidRPr="00BD1CC1" w:rsidRDefault="00C50D69" w:rsidP="00E82ABA">
            <w:pPr>
              <w:pStyle w:val="TableDataUnpadded"/>
            </w:pPr>
            <w:r w:rsidRPr="00C50D69">
              <w:t>Imcivree</w:t>
            </w:r>
          </w:p>
        </w:tc>
        <w:tc>
          <w:tcPr>
            <w:tcW w:w="5595" w:type="dxa"/>
          </w:tcPr>
          <w:p w14:paraId="7E26A004" w14:textId="197BDF24" w:rsidR="00585FFF" w:rsidRPr="00BD1CC1" w:rsidRDefault="00C50D69" w:rsidP="00E82ABA">
            <w:pPr>
              <w:pStyle w:val="TableDataUnpadded"/>
            </w:pPr>
            <w:r w:rsidRPr="00C50D69">
              <w:t>setmelanotide</w:t>
            </w:r>
          </w:p>
        </w:tc>
      </w:tr>
    </w:tbl>
    <w:bookmarkEnd w:id="0"/>
    <w:p w14:paraId="14CE6108" w14:textId="29CC4015" w:rsidR="00FC1AAD" w:rsidRPr="00563CBD" w:rsidRDefault="00ED052F" w:rsidP="00AA2A94">
      <w:pPr>
        <w:pStyle w:val="Heading2"/>
        <w:tabs>
          <w:tab w:val="left" w:pos="9540"/>
        </w:tabs>
      </w:pPr>
      <w:r>
        <w:t>Indications</w:t>
      </w:r>
    </w:p>
    <w:p w14:paraId="208B4D4E" w14:textId="2C483800" w:rsidR="00C50D69" w:rsidRPr="00C50D69" w:rsidRDefault="00C50D69" w:rsidP="00C50D69">
      <w:pPr>
        <w:pStyle w:val="BodyText"/>
      </w:pPr>
      <w:r w:rsidRPr="00C50D69">
        <w:t>The indications below including FDA-approved indications and compendial uses are considered a covered benefit provided that all the approval criteria are met and the member has no exclusions to the prescribed therapy.</w:t>
      </w:r>
    </w:p>
    <w:p w14:paraId="134B5687" w14:textId="507896BE" w:rsidR="00ED052F" w:rsidRPr="00BD1CC1" w:rsidRDefault="00ED052F" w:rsidP="00ED052F">
      <w:pPr>
        <w:pStyle w:val="Heading3"/>
        <w:keepNext w:val="0"/>
      </w:pPr>
      <w:r w:rsidRPr="00BD1CC1">
        <w:t>FDA-approved Indications</w:t>
      </w:r>
      <w:r w:rsidR="00105CDA" w:rsidRPr="00105CDA">
        <w:rPr>
          <w:vertAlign w:val="superscript"/>
        </w:rPr>
        <w:t>1</w:t>
      </w:r>
    </w:p>
    <w:p w14:paraId="5FC22EBA" w14:textId="29517FFB" w:rsidR="00C50D69" w:rsidRPr="00C50D69" w:rsidRDefault="00C50D69" w:rsidP="00C50D69">
      <w:pPr>
        <w:pStyle w:val="BodyText"/>
      </w:pPr>
      <w:r w:rsidRPr="00C50D69">
        <w:t xml:space="preserve">Imcivree is indicated </w:t>
      </w:r>
      <w:r w:rsidR="00005B69">
        <w:t>to reduce excess body weight and maintain weight reduction long term</w:t>
      </w:r>
      <w:r w:rsidRPr="00C50D69">
        <w:t xml:space="preserve"> in adult</w:t>
      </w:r>
      <w:r w:rsidR="00005B69">
        <w:t>s</w:t>
      </w:r>
      <w:r w:rsidRPr="00C50D69">
        <w:t xml:space="preserve"> and pediatric patients </w:t>
      </w:r>
      <w:r w:rsidR="004C5B47">
        <w:t>2</w:t>
      </w:r>
      <w:r w:rsidRPr="00C50D69">
        <w:t xml:space="preserve"> years of age and older with </w:t>
      </w:r>
      <w:r w:rsidR="00446DE9" w:rsidRPr="00CD3F45">
        <w:t xml:space="preserve">syndromic or </w:t>
      </w:r>
      <w:r w:rsidRPr="00CD3F45">
        <w:t>monogenic</w:t>
      </w:r>
      <w:r w:rsidRPr="00C50D69">
        <w:t xml:space="preserve"> obesity due to:</w:t>
      </w:r>
    </w:p>
    <w:p w14:paraId="762CF422" w14:textId="77777777" w:rsidR="00F53C47" w:rsidRPr="00C50D69" w:rsidRDefault="00F53C47" w:rsidP="00F53C47">
      <w:pPr>
        <w:pStyle w:val="ListParagraph"/>
      </w:pPr>
      <w:r w:rsidRPr="00C50D69">
        <w:t>Bardet-Biedl syndrome (BBS)</w:t>
      </w:r>
    </w:p>
    <w:p w14:paraId="37876C30" w14:textId="7C6C99DD" w:rsidR="00C50D69" w:rsidRPr="00C50D69" w:rsidRDefault="00C50D69" w:rsidP="00350FF0">
      <w:pPr>
        <w:pStyle w:val="ListParagraph"/>
      </w:pPr>
      <w:r w:rsidRPr="00C50D69">
        <w:t>Pro-opiomelanocortin (POMC), proprotein convertase subtilisin/</w:t>
      </w:r>
      <w:proofErr w:type="spellStart"/>
      <w:r w:rsidRPr="00C50D69">
        <w:t>kexin</w:t>
      </w:r>
      <w:proofErr w:type="spellEnd"/>
      <w:r w:rsidRPr="00C50D69">
        <w:t xml:space="preserve"> type 1 (PCSK1), or leptin receptor (LEPR) deficiency as determined by an FDA-approved test demonstrating variants in POMC, PCSK1, or LEPR genes that are interpreted as pathogenic, likely pathogenic, or of uncertain significance (VUS)</w:t>
      </w:r>
    </w:p>
    <w:p w14:paraId="4E5105D8" w14:textId="215E3F49" w:rsidR="00C50D69" w:rsidRPr="008445A6" w:rsidRDefault="00C50D69" w:rsidP="00C50D69">
      <w:pPr>
        <w:pStyle w:val="Heading4"/>
      </w:pPr>
      <w:r>
        <w:t>Limitations of Use</w:t>
      </w:r>
      <w:r w:rsidR="000D486F">
        <w:t>:</w:t>
      </w:r>
    </w:p>
    <w:p w14:paraId="74BFF83B" w14:textId="2EAA85AA" w:rsidR="00C50D69" w:rsidRPr="00C50D69" w:rsidRDefault="00C50D69" w:rsidP="00C50D69">
      <w:pPr>
        <w:pStyle w:val="BodyText"/>
      </w:pPr>
      <w:r w:rsidRPr="00C50D69">
        <w:t>Imcivree is not indicated for the treatment of patients with the following conditions as Imcivree would not be expected to be effective:</w:t>
      </w:r>
    </w:p>
    <w:p w14:paraId="03A2F2DD" w14:textId="49FD7F2D" w:rsidR="00C50D69" w:rsidRPr="00C50D69" w:rsidRDefault="00C50D69" w:rsidP="00C50D69">
      <w:pPr>
        <w:pStyle w:val="ListParagraph"/>
      </w:pPr>
      <w:r w:rsidRPr="00C50D69">
        <w:t>Obesity due to suspected POMC, PCSK1, or LEPR deficiency with POMC, PCSK1, or LEPR variants classified as benign or likely benign</w:t>
      </w:r>
    </w:p>
    <w:p w14:paraId="7B2493E4" w14:textId="67059BB3" w:rsidR="00C50D69" w:rsidRPr="00C50D69" w:rsidRDefault="00C50D69" w:rsidP="00C50D69">
      <w:pPr>
        <w:pStyle w:val="ListParagraph"/>
      </w:pPr>
      <w:r w:rsidRPr="00C50D69">
        <w:lastRenderedPageBreak/>
        <w:t xml:space="preserve">Other types of obesity not related to </w:t>
      </w:r>
      <w:r w:rsidR="000F1C81" w:rsidRPr="00C50D69">
        <w:t xml:space="preserve">BBS </w:t>
      </w:r>
      <w:r w:rsidR="000F1C81">
        <w:t xml:space="preserve">or </w:t>
      </w:r>
      <w:r w:rsidRPr="00C50D69">
        <w:t>POMC, PCSK1, or LEPR deficiency, including obesity associated with other genetic syndromes and general (polygenic) obesity</w:t>
      </w:r>
    </w:p>
    <w:p w14:paraId="4C434745" w14:textId="454A8E49" w:rsidR="00ED052F" w:rsidRPr="0098322E" w:rsidRDefault="00C50D69" w:rsidP="0098322E">
      <w:pPr>
        <w:pStyle w:val="BodyText"/>
        <w:spacing w:after="0"/>
      </w:pPr>
      <w:r w:rsidRPr="0098322E">
        <w:t>All other indications are considered experimental/investigational and not medically necessary.</w:t>
      </w:r>
    </w:p>
    <w:p w14:paraId="36381B6D" w14:textId="5B9A44A4" w:rsidR="000D2496" w:rsidRPr="00BD1CC1" w:rsidRDefault="000D2496" w:rsidP="000D2496">
      <w:pPr>
        <w:pStyle w:val="Heading2"/>
      </w:pPr>
      <w:r w:rsidRPr="00BD1CC1">
        <w:t>Documentation</w:t>
      </w:r>
    </w:p>
    <w:p w14:paraId="764EEDF4" w14:textId="5ED6855A" w:rsidR="00350FF0" w:rsidRPr="00350FF0" w:rsidRDefault="00350FF0" w:rsidP="00350FF0">
      <w:pPr>
        <w:pStyle w:val="BodyText"/>
      </w:pPr>
      <w:r w:rsidRPr="00350FF0">
        <w:t>Submission of the following information is necessary to initiate the prior authorization review:</w:t>
      </w:r>
    </w:p>
    <w:p w14:paraId="4D0B8FD8" w14:textId="5D331471" w:rsidR="00350FF0" w:rsidRPr="00563CBD" w:rsidRDefault="00350FF0" w:rsidP="00563CBD">
      <w:pPr>
        <w:pStyle w:val="ListParagraph"/>
        <w:numPr>
          <w:ilvl w:val="0"/>
          <w:numId w:val="39"/>
        </w:numPr>
      </w:pPr>
      <w:r w:rsidRPr="00563CBD">
        <w:t xml:space="preserve">Obesity </w:t>
      </w:r>
      <w:r w:rsidR="00D304DF">
        <w:t>d</w:t>
      </w:r>
      <w:r w:rsidRPr="00563CBD">
        <w:t>ue to POMC, PCSK1</w:t>
      </w:r>
      <w:r w:rsidR="004A1F3C">
        <w:t>,</w:t>
      </w:r>
      <w:r w:rsidRPr="00563CBD">
        <w:t xml:space="preserve"> or LEPR deficiency</w:t>
      </w:r>
    </w:p>
    <w:p w14:paraId="4F9A2204" w14:textId="0BA41AE8" w:rsidR="00350FF0" w:rsidRPr="00563CBD" w:rsidRDefault="00350FF0" w:rsidP="00563CBD">
      <w:pPr>
        <w:pStyle w:val="ListParagraph"/>
        <w:numPr>
          <w:ilvl w:val="1"/>
          <w:numId w:val="40"/>
        </w:numPr>
      </w:pPr>
      <w:r w:rsidRPr="00563CBD">
        <w:t xml:space="preserve">Initial </w:t>
      </w:r>
      <w:r w:rsidR="004D77D8">
        <w:t>r</w:t>
      </w:r>
      <w:r w:rsidRPr="00563CBD">
        <w:t>equests:</w:t>
      </w:r>
    </w:p>
    <w:p w14:paraId="6717D768" w14:textId="07C4D99A" w:rsidR="00350FF0" w:rsidRPr="00563CBD" w:rsidRDefault="00350FF0" w:rsidP="00563CBD">
      <w:pPr>
        <w:pStyle w:val="ListParagraph"/>
        <w:numPr>
          <w:ilvl w:val="2"/>
          <w:numId w:val="41"/>
        </w:numPr>
        <w:ind w:left="2160"/>
      </w:pPr>
      <w:r w:rsidRPr="00563CBD">
        <w:t>Genetic test results documenting homozygous or compound heterozygous variants in POMC, PCSK1, or LEPR genes</w:t>
      </w:r>
    </w:p>
    <w:p w14:paraId="18AF9676" w14:textId="731E31F8" w:rsidR="00350FF0" w:rsidRPr="00563CBD" w:rsidRDefault="00350FF0" w:rsidP="00563CBD">
      <w:pPr>
        <w:pStyle w:val="ListParagraph"/>
        <w:numPr>
          <w:ilvl w:val="2"/>
          <w:numId w:val="41"/>
        </w:numPr>
        <w:ind w:left="2160"/>
      </w:pPr>
      <w:r w:rsidRPr="00563CBD">
        <w:t xml:space="preserve">Medical record (e.g., chart notes) and growth chart (in members less than 18 years of age) documentation of pretreatment </w:t>
      </w:r>
      <w:r w:rsidR="00844563">
        <w:t>b</w:t>
      </w:r>
      <w:r w:rsidRPr="00563CBD">
        <w:t xml:space="preserve">ody </w:t>
      </w:r>
      <w:r w:rsidR="00844563">
        <w:t>m</w:t>
      </w:r>
      <w:r w:rsidRPr="00563CBD">
        <w:t xml:space="preserve">ass </w:t>
      </w:r>
      <w:r w:rsidR="00844563">
        <w:t>i</w:t>
      </w:r>
      <w:r w:rsidRPr="00563CBD">
        <w:t>ndex (BMI) and weight</w:t>
      </w:r>
      <w:r w:rsidR="00563CBD" w:rsidRPr="00563CBD">
        <w:t xml:space="preserve"> </w:t>
      </w:r>
    </w:p>
    <w:p w14:paraId="232BF301" w14:textId="3A6B347A" w:rsidR="00350FF0" w:rsidRPr="00563CBD" w:rsidRDefault="00350FF0" w:rsidP="00563CBD">
      <w:pPr>
        <w:pStyle w:val="ListParagraph"/>
        <w:numPr>
          <w:ilvl w:val="1"/>
          <w:numId w:val="40"/>
        </w:numPr>
      </w:pPr>
      <w:r w:rsidRPr="00563CBD">
        <w:t xml:space="preserve">Continuation </w:t>
      </w:r>
      <w:r w:rsidR="004D77D8">
        <w:t>r</w:t>
      </w:r>
      <w:r w:rsidRPr="00563CBD">
        <w:t>equests (where applicable): Medical record (e.g., chart notes) and growth chart documentation of current BMI and current weight</w:t>
      </w:r>
    </w:p>
    <w:p w14:paraId="68162170" w14:textId="16335279" w:rsidR="00350FF0" w:rsidRPr="00563CBD" w:rsidRDefault="00350FF0" w:rsidP="00563CBD">
      <w:pPr>
        <w:pStyle w:val="ListParagraph"/>
        <w:numPr>
          <w:ilvl w:val="0"/>
          <w:numId w:val="39"/>
        </w:numPr>
      </w:pPr>
      <w:r w:rsidRPr="00563CBD">
        <w:t>Obesity due to Bardet-Biedl Syndrome</w:t>
      </w:r>
    </w:p>
    <w:p w14:paraId="340DA8BE" w14:textId="155FBC83" w:rsidR="00350FF0" w:rsidRPr="00563CBD" w:rsidRDefault="00350FF0" w:rsidP="008A0E05">
      <w:pPr>
        <w:pStyle w:val="ListParagraph"/>
        <w:numPr>
          <w:ilvl w:val="1"/>
          <w:numId w:val="42"/>
        </w:numPr>
      </w:pPr>
      <w:r w:rsidRPr="00563CBD">
        <w:t xml:space="preserve">Initial </w:t>
      </w:r>
      <w:r w:rsidR="003F14A6">
        <w:t>r</w:t>
      </w:r>
      <w:r w:rsidRPr="00563CBD">
        <w:t>equests:</w:t>
      </w:r>
    </w:p>
    <w:p w14:paraId="0B0F5FD0" w14:textId="0845BCB1" w:rsidR="00350FF0" w:rsidRPr="00563CBD" w:rsidRDefault="00350FF0" w:rsidP="008A0E05">
      <w:pPr>
        <w:pStyle w:val="ListParagraph"/>
        <w:numPr>
          <w:ilvl w:val="2"/>
          <w:numId w:val="43"/>
        </w:numPr>
        <w:ind w:left="2160"/>
      </w:pPr>
      <w:r w:rsidRPr="00563CBD">
        <w:t>Chart notes or medical record documentation supporting clinical diagnosis</w:t>
      </w:r>
    </w:p>
    <w:p w14:paraId="67DB596B" w14:textId="148B9646" w:rsidR="00350FF0" w:rsidRPr="00563CBD" w:rsidRDefault="00350FF0" w:rsidP="008A0E05">
      <w:pPr>
        <w:pStyle w:val="ListParagraph"/>
        <w:numPr>
          <w:ilvl w:val="2"/>
          <w:numId w:val="43"/>
        </w:numPr>
        <w:ind w:left="2160"/>
      </w:pPr>
      <w:r w:rsidRPr="00563CBD">
        <w:t>Medical record (e.g., chart notes) and growth chart (in members less than 18 years of age) documentation of pretreatment BMI and weight</w:t>
      </w:r>
    </w:p>
    <w:p w14:paraId="2180ED6E" w14:textId="21F12EBF" w:rsidR="000D2496" w:rsidRDefault="00350FF0" w:rsidP="008A0E05">
      <w:pPr>
        <w:pStyle w:val="ListParagraph"/>
        <w:numPr>
          <w:ilvl w:val="1"/>
          <w:numId w:val="42"/>
        </w:numPr>
      </w:pPr>
      <w:r w:rsidRPr="00563CBD">
        <w:t xml:space="preserve">Continuation </w:t>
      </w:r>
      <w:r w:rsidR="003F14A6">
        <w:t>r</w:t>
      </w:r>
      <w:r w:rsidRPr="00563CBD">
        <w:t>equests (where applicable): Medical record (e.g., chart notes) and growth chart documentation of current BMI and current we</w:t>
      </w:r>
      <w:r w:rsidRPr="00350FF0">
        <w:t>ight</w:t>
      </w:r>
    </w:p>
    <w:p w14:paraId="50A38FBA" w14:textId="484838DF" w:rsidR="00FE0C63" w:rsidRPr="00100B91" w:rsidRDefault="00685107" w:rsidP="00E050E1">
      <w:pPr>
        <w:pStyle w:val="Heading2"/>
      </w:pPr>
      <w:r>
        <w:t>Coverage Criteria</w:t>
      </w:r>
    </w:p>
    <w:p w14:paraId="5D7FF67B" w14:textId="20455457" w:rsidR="00B463D7" w:rsidRPr="00B463D7" w:rsidRDefault="00B463D7" w:rsidP="008813AE">
      <w:pPr>
        <w:pStyle w:val="Heading3"/>
      </w:pPr>
      <w:r w:rsidRPr="00B463D7">
        <w:t xml:space="preserve">Obesity </w:t>
      </w:r>
      <w:r w:rsidR="00B055F5">
        <w:t>d</w:t>
      </w:r>
      <w:r w:rsidRPr="00B463D7">
        <w:t xml:space="preserve">ue </w:t>
      </w:r>
      <w:r w:rsidR="003F14A6">
        <w:t>t</w:t>
      </w:r>
      <w:r w:rsidRPr="00B463D7">
        <w:t>o POMC, PCSK1, or LEPR Deficiency</w:t>
      </w:r>
      <w:r w:rsidRPr="00B9708A">
        <w:rPr>
          <w:vertAlign w:val="superscript"/>
        </w:rPr>
        <w:t>1</w:t>
      </w:r>
      <w:r w:rsidR="00993E0D">
        <w:rPr>
          <w:vertAlign w:val="superscript"/>
        </w:rPr>
        <w:t>,</w:t>
      </w:r>
      <w:r w:rsidRPr="00B9708A">
        <w:rPr>
          <w:vertAlign w:val="superscript"/>
        </w:rPr>
        <w:t>2</w:t>
      </w:r>
      <w:r w:rsidR="003B73AE">
        <w:rPr>
          <w:vertAlign w:val="superscript"/>
        </w:rPr>
        <w:t>,4</w:t>
      </w:r>
    </w:p>
    <w:p w14:paraId="111FAE65" w14:textId="1C3B2F0E" w:rsidR="00B463D7" w:rsidRPr="00B463D7" w:rsidRDefault="00B463D7" w:rsidP="00B463D7">
      <w:pPr>
        <w:pStyle w:val="BodyText"/>
      </w:pPr>
      <w:r w:rsidRPr="006130D4">
        <w:t xml:space="preserve">Authorization of 6 months may be granted </w:t>
      </w:r>
      <w:r w:rsidR="006B1A2B" w:rsidRPr="006130D4">
        <w:t>to reduce excess body</w:t>
      </w:r>
      <w:r w:rsidR="008D19C2" w:rsidRPr="006130D4">
        <w:t xml:space="preserve"> weight and maintain weight reduction long term</w:t>
      </w:r>
      <w:r w:rsidRPr="006130D4">
        <w:t xml:space="preserve"> </w:t>
      </w:r>
      <w:r w:rsidR="008D19C2" w:rsidRPr="006130D4">
        <w:t>for</w:t>
      </w:r>
      <w:r w:rsidRPr="006130D4">
        <w:t xml:space="preserve"> members with obesity due to proopiomelanocortin (POMC), proprotein convertase subtilisin/</w:t>
      </w:r>
      <w:proofErr w:type="spellStart"/>
      <w:r w:rsidRPr="006130D4">
        <w:t>kexin</w:t>
      </w:r>
      <w:proofErr w:type="spellEnd"/>
      <w:r w:rsidRPr="006130D4">
        <w:t xml:space="preserve"> type 1 (PCSK1), or leptin receptor (LEPR) deficiency when all of the following criteria are met:</w:t>
      </w:r>
    </w:p>
    <w:p w14:paraId="077206C7" w14:textId="77777777" w:rsidR="00B463D7" w:rsidRPr="00B463D7" w:rsidRDefault="00B463D7" w:rsidP="008813AE">
      <w:pPr>
        <w:pStyle w:val="ListParagraph"/>
      </w:pPr>
      <w:r w:rsidRPr="00B463D7">
        <w:t>Diagnosis is confirmed by genetic testing demonstrating homozygous or compound heterozygous variants in POMC, PCSK1, or LEPR genes</w:t>
      </w:r>
    </w:p>
    <w:p w14:paraId="3C7AA89B" w14:textId="77777777" w:rsidR="00B463D7" w:rsidRPr="00B463D7" w:rsidRDefault="00B463D7" w:rsidP="008813AE">
      <w:pPr>
        <w:pStyle w:val="ListParagraph"/>
      </w:pPr>
      <w:r w:rsidRPr="00B463D7">
        <w:t>POMC, PCSK1, or LEPR gene variants are interpreted as pathogenic, likely pathogenic, or of uncertain significance (VUS)</w:t>
      </w:r>
    </w:p>
    <w:p w14:paraId="48A31182" w14:textId="5D934BDF" w:rsidR="00B463D7" w:rsidRPr="00B463D7" w:rsidRDefault="00B463D7" w:rsidP="008813AE">
      <w:pPr>
        <w:pStyle w:val="ListParagraph"/>
      </w:pPr>
      <w:r w:rsidRPr="00B463D7">
        <w:t xml:space="preserve">The member is </w:t>
      </w:r>
      <w:r w:rsidR="004C5B47">
        <w:t>2</w:t>
      </w:r>
      <w:r w:rsidR="004C5B47" w:rsidRPr="00B463D7">
        <w:t xml:space="preserve"> </w:t>
      </w:r>
      <w:r w:rsidRPr="00B463D7">
        <w:t>years of age or older</w:t>
      </w:r>
    </w:p>
    <w:p w14:paraId="32E381D8" w14:textId="77777777" w:rsidR="00B463D7" w:rsidRPr="00B463D7" w:rsidRDefault="00B463D7" w:rsidP="008813AE">
      <w:pPr>
        <w:pStyle w:val="ListParagraph"/>
      </w:pPr>
      <w:r w:rsidRPr="00B463D7">
        <w:t>The member has obesity defined as one of the following:</w:t>
      </w:r>
    </w:p>
    <w:p w14:paraId="5CF8F83C" w14:textId="68F5B852" w:rsidR="00B463D7" w:rsidRPr="00B463D7" w:rsidRDefault="00B463D7" w:rsidP="008813AE">
      <w:pPr>
        <w:pStyle w:val="ListParagraph"/>
        <w:numPr>
          <w:ilvl w:val="1"/>
          <w:numId w:val="21"/>
        </w:numPr>
      </w:pPr>
      <w:r w:rsidRPr="00B463D7">
        <w:t>BMI greater than or equal to 30 kg/m</w:t>
      </w:r>
      <w:r w:rsidRPr="00A53FCD">
        <w:rPr>
          <w:vertAlign w:val="superscript"/>
        </w:rPr>
        <w:t>2</w:t>
      </w:r>
      <w:r w:rsidRPr="00B463D7">
        <w:t xml:space="preserve"> in members 18 years of age or older</w:t>
      </w:r>
      <w:r w:rsidR="00563CBD">
        <w:t xml:space="preserve"> </w:t>
      </w:r>
    </w:p>
    <w:p w14:paraId="2116FE16" w14:textId="0882CB72" w:rsidR="00EE7A7A" w:rsidRPr="00B463D7" w:rsidRDefault="00B463D7" w:rsidP="00252134">
      <w:pPr>
        <w:pStyle w:val="ListParagraph"/>
        <w:numPr>
          <w:ilvl w:val="1"/>
          <w:numId w:val="21"/>
        </w:numPr>
      </w:pPr>
      <w:r w:rsidRPr="00B463D7">
        <w:t>BMI greater than or equal to 95</w:t>
      </w:r>
      <w:r w:rsidRPr="00445A5F">
        <w:rPr>
          <w:vertAlign w:val="superscript"/>
        </w:rPr>
        <w:t>th</w:t>
      </w:r>
      <w:r w:rsidRPr="00B463D7">
        <w:t xml:space="preserve"> percentile for age on growth chart assessment in members less than 18 years of age</w:t>
      </w:r>
    </w:p>
    <w:p w14:paraId="0423CF79" w14:textId="0233CFC4" w:rsidR="00B463D7" w:rsidRPr="00B463D7" w:rsidRDefault="00B463D7" w:rsidP="008813AE">
      <w:pPr>
        <w:pStyle w:val="Heading3"/>
      </w:pPr>
      <w:r w:rsidRPr="00B463D7">
        <w:lastRenderedPageBreak/>
        <w:t xml:space="preserve">Obesity </w:t>
      </w:r>
      <w:r w:rsidR="00B055F5">
        <w:t>d</w:t>
      </w:r>
      <w:r w:rsidRPr="00B463D7">
        <w:t xml:space="preserve">ue </w:t>
      </w:r>
      <w:r w:rsidR="003F14A6">
        <w:t>t</w:t>
      </w:r>
      <w:r w:rsidRPr="00B463D7">
        <w:t>o Bardet-Biedl Syndrome</w:t>
      </w:r>
      <w:r w:rsidRPr="00A53FCD">
        <w:rPr>
          <w:vertAlign w:val="superscript"/>
        </w:rPr>
        <w:t>1-</w:t>
      </w:r>
      <w:r w:rsidR="003B73AE">
        <w:rPr>
          <w:vertAlign w:val="superscript"/>
        </w:rPr>
        <w:t>4</w:t>
      </w:r>
    </w:p>
    <w:p w14:paraId="6CDB1205" w14:textId="0427E0E6" w:rsidR="00B463D7" w:rsidRPr="00B463D7" w:rsidRDefault="00B463D7" w:rsidP="00B463D7">
      <w:pPr>
        <w:pStyle w:val="BodyText"/>
      </w:pPr>
      <w:r w:rsidRPr="00B463D7">
        <w:t xml:space="preserve">Authorization of 12 months </w:t>
      </w:r>
      <w:r w:rsidR="00225455" w:rsidRPr="00B463D7">
        <w:t xml:space="preserve">may be granted </w:t>
      </w:r>
      <w:r w:rsidR="00225455">
        <w:t>to reduce excess body weight and maintain weight reduction long term</w:t>
      </w:r>
      <w:r w:rsidR="00225455" w:rsidRPr="00B463D7">
        <w:t xml:space="preserve"> </w:t>
      </w:r>
      <w:r w:rsidR="00225455">
        <w:t>for</w:t>
      </w:r>
      <w:r w:rsidR="00225455" w:rsidRPr="00B463D7">
        <w:t xml:space="preserve"> members</w:t>
      </w:r>
      <w:r w:rsidRPr="00B463D7">
        <w:t xml:space="preserve"> with obesity due to Bardet-Biedl syndrome (BBS) when all of the following criteria are met:</w:t>
      </w:r>
    </w:p>
    <w:p w14:paraId="2B4F4B72" w14:textId="77777777" w:rsidR="00B463D7" w:rsidRPr="00B463D7" w:rsidRDefault="00B463D7" w:rsidP="008813AE">
      <w:pPr>
        <w:pStyle w:val="ListParagraph"/>
      </w:pPr>
      <w:r w:rsidRPr="00B463D7">
        <w:t>The member has a clinical diagnosis of BBS as per Beales criteria (member has 4 primary features OR 3 primary and 2 secondary features) (see Appendix)</w:t>
      </w:r>
    </w:p>
    <w:p w14:paraId="1C0E112F" w14:textId="0807521E" w:rsidR="00B463D7" w:rsidRPr="00B463D7" w:rsidRDefault="00B463D7" w:rsidP="008813AE">
      <w:pPr>
        <w:pStyle w:val="ListParagraph"/>
      </w:pPr>
      <w:r w:rsidRPr="00B463D7">
        <w:t xml:space="preserve">The member is </w:t>
      </w:r>
      <w:r w:rsidR="004C5B47">
        <w:t>2</w:t>
      </w:r>
      <w:r w:rsidR="004C5B47" w:rsidRPr="00B463D7">
        <w:t xml:space="preserve"> </w:t>
      </w:r>
      <w:r w:rsidRPr="00B463D7">
        <w:t>years of age or older</w:t>
      </w:r>
    </w:p>
    <w:p w14:paraId="62B5F776" w14:textId="77777777" w:rsidR="00B463D7" w:rsidRPr="00B463D7" w:rsidRDefault="00B463D7" w:rsidP="008813AE">
      <w:pPr>
        <w:pStyle w:val="ListParagraph"/>
      </w:pPr>
      <w:r w:rsidRPr="00B463D7">
        <w:t>The member has obesity defined as one of the following:</w:t>
      </w:r>
    </w:p>
    <w:p w14:paraId="79E35D54" w14:textId="07C947DA" w:rsidR="00B463D7" w:rsidRPr="00B463D7" w:rsidRDefault="00B463D7" w:rsidP="008813AE">
      <w:pPr>
        <w:pStyle w:val="ListParagraph"/>
        <w:numPr>
          <w:ilvl w:val="1"/>
          <w:numId w:val="38"/>
        </w:numPr>
      </w:pPr>
      <w:r w:rsidRPr="00B463D7">
        <w:t>BMI greater than or equal to 30 kg/m</w:t>
      </w:r>
      <w:r w:rsidRPr="00416163">
        <w:rPr>
          <w:vertAlign w:val="superscript"/>
        </w:rPr>
        <w:t>2</w:t>
      </w:r>
      <w:r w:rsidRPr="00B463D7">
        <w:t xml:space="preserve"> in members 18 years of age or older</w:t>
      </w:r>
    </w:p>
    <w:p w14:paraId="7FE12500" w14:textId="2ADF7C9D" w:rsidR="0027617A" w:rsidRPr="00B463D7" w:rsidRDefault="00B463D7" w:rsidP="00E675B9">
      <w:pPr>
        <w:pStyle w:val="ListParagraph"/>
        <w:numPr>
          <w:ilvl w:val="1"/>
          <w:numId w:val="38"/>
        </w:numPr>
      </w:pPr>
      <w:r w:rsidRPr="00B463D7">
        <w:t>BMI greater than or equal to 95</w:t>
      </w:r>
      <w:r w:rsidRPr="000D486F">
        <w:rPr>
          <w:vertAlign w:val="superscript"/>
        </w:rPr>
        <w:t>th</w:t>
      </w:r>
      <w:r w:rsidRPr="00B463D7">
        <w:t xml:space="preserve"> percentile for age on growth chart assessment in </w:t>
      </w:r>
      <w:r w:rsidRPr="006130D4">
        <w:t>members less than 18 years of age</w:t>
      </w:r>
    </w:p>
    <w:p w14:paraId="3A643EC3" w14:textId="25DDCE05" w:rsidR="00A501AC" w:rsidRPr="00BD1CC1" w:rsidRDefault="00A501AC" w:rsidP="00A501AC">
      <w:pPr>
        <w:pStyle w:val="Heading2"/>
      </w:pPr>
      <w:r w:rsidRPr="00BD1CC1">
        <w:t>Continuation of Therapy</w:t>
      </w:r>
    </w:p>
    <w:p w14:paraId="0EFAD55C" w14:textId="18B6374C" w:rsidR="008813AE" w:rsidRPr="008813AE" w:rsidRDefault="008813AE" w:rsidP="008813AE">
      <w:pPr>
        <w:pStyle w:val="Heading3"/>
      </w:pPr>
      <w:r w:rsidRPr="008813AE">
        <w:t xml:space="preserve">Obesity </w:t>
      </w:r>
      <w:r w:rsidR="00B055F5">
        <w:t>d</w:t>
      </w:r>
      <w:r w:rsidRPr="008813AE">
        <w:t xml:space="preserve">ue </w:t>
      </w:r>
      <w:r w:rsidR="003F14A6">
        <w:t>t</w:t>
      </w:r>
      <w:r w:rsidRPr="008813AE">
        <w:t>o POMC, PCSK1, or LEPR Deficiency</w:t>
      </w:r>
    </w:p>
    <w:p w14:paraId="47D7DF79" w14:textId="4FD61D15" w:rsidR="008813AE" w:rsidRPr="008813AE" w:rsidRDefault="008813AE" w:rsidP="008813AE">
      <w:pPr>
        <w:pStyle w:val="BodyText"/>
      </w:pPr>
      <w:r w:rsidRPr="008813AE">
        <w:t>Authorization of 12 months may be granted for continued treatment in members requesting reauthorization when one of the following is met:</w:t>
      </w:r>
    </w:p>
    <w:p w14:paraId="3FA4EF83" w14:textId="2F62C26C" w:rsidR="008813AE" w:rsidRPr="008813AE" w:rsidRDefault="008813AE" w:rsidP="008813AE">
      <w:pPr>
        <w:pStyle w:val="ListParagraph"/>
      </w:pPr>
      <w:r w:rsidRPr="008813AE">
        <w:t>The member has received less than 12 months of therapy and one of the following is met:</w:t>
      </w:r>
    </w:p>
    <w:p w14:paraId="3585442A" w14:textId="36DDC34A" w:rsidR="008813AE" w:rsidRPr="008813AE" w:rsidRDefault="008813AE" w:rsidP="005114E4">
      <w:pPr>
        <w:pStyle w:val="ListParagraph"/>
        <w:numPr>
          <w:ilvl w:val="1"/>
          <w:numId w:val="21"/>
        </w:numPr>
      </w:pPr>
      <w:r w:rsidRPr="008813AE">
        <w:t>Member has lost at least 5% of baseline body weight</w:t>
      </w:r>
    </w:p>
    <w:p w14:paraId="5494D559" w14:textId="792756DC" w:rsidR="008813AE" w:rsidRPr="008813AE" w:rsidRDefault="008813AE" w:rsidP="005114E4">
      <w:pPr>
        <w:pStyle w:val="ListParagraph"/>
        <w:numPr>
          <w:ilvl w:val="1"/>
          <w:numId w:val="21"/>
        </w:numPr>
      </w:pPr>
      <w:r w:rsidRPr="008813AE">
        <w:t xml:space="preserve">Member </w:t>
      </w:r>
      <w:r w:rsidR="00707B74">
        <w:t xml:space="preserve">is less than 18 years of age </w:t>
      </w:r>
      <w:r w:rsidRPr="008813AE">
        <w:t>and has had a reduction in BMI of at least 5% from baseline</w:t>
      </w:r>
    </w:p>
    <w:p w14:paraId="0FE0C7F9" w14:textId="10ED7D6C" w:rsidR="008813AE" w:rsidRPr="008813AE" w:rsidRDefault="008813AE" w:rsidP="008813AE">
      <w:pPr>
        <w:pStyle w:val="ListParagraph"/>
      </w:pPr>
      <w:r w:rsidRPr="008813AE">
        <w:t>Member has received 12 months of therapy or more and has achieved or sustained clinically meaningful weight loss</w:t>
      </w:r>
    </w:p>
    <w:p w14:paraId="3D645707" w14:textId="45BBA96A" w:rsidR="008813AE" w:rsidRPr="008813AE" w:rsidRDefault="008813AE" w:rsidP="008813AE">
      <w:pPr>
        <w:pStyle w:val="Heading3"/>
      </w:pPr>
      <w:r w:rsidRPr="008813AE">
        <w:t xml:space="preserve">Obesity </w:t>
      </w:r>
      <w:r w:rsidR="00B055F5">
        <w:t>d</w:t>
      </w:r>
      <w:r w:rsidRPr="008813AE">
        <w:t xml:space="preserve">ue </w:t>
      </w:r>
      <w:r w:rsidR="003F14A6">
        <w:t>t</w:t>
      </w:r>
      <w:r w:rsidRPr="008813AE">
        <w:t>o Bardet-Biedl Syndrome</w:t>
      </w:r>
    </w:p>
    <w:p w14:paraId="4D6B6A87" w14:textId="753C34C6" w:rsidR="008813AE" w:rsidRPr="008813AE" w:rsidRDefault="008813AE" w:rsidP="008813AE">
      <w:pPr>
        <w:pStyle w:val="ListParagraph"/>
      </w:pPr>
      <w:r w:rsidRPr="008813AE">
        <w:t>Authorization of up to 12 months may be granted for continued treatment in members requesting reauthorization when the member has received less than 12 months of therapy</w:t>
      </w:r>
      <w:r w:rsidR="0021404E">
        <w:t>.</w:t>
      </w:r>
    </w:p>
    <w:p w14:paraId="2CE2A5B8" w14:textId="0906F109" w:rsidR="008813AE" w:rsidRPr="008813AE" w:rsidRDefault="008813AE" w:rsidP="008813AE">
      <w:pPr>
        <w:pStyle w:val="ListParagraph"/>
      </w:pPr>
      <w:r w:rsidRPr="008813AE">
        <w:t>Authorization of 12 months may be granted for continued treatment in members requesting reauthorization when the member has received 12 months of therapy or more and one of the following is met:</w:t>
      </w:r>
    </w:p>
    <w:p w14:paraId="0DFC542C" w14:textId="6A599FF6" w:rsidR="008813AE" w:rsidRPr="008813AE" w:rsidRDefault="008813AE" w:rsidP="008813AE">
      <w:pPr>
        <w:pStyle w:val="ListParagraph"/>
        <w:numPr>
          <w:ilvl w:val="1"/>
          <w:numId w:val="21"/>
        </w:numPr>
      </w:pPr>
      <w:r w:rsidRPr="008813AE">
        <w:t>Member has lost at least 5% of baseline body weight</w:t>
      </w:r>
    </w:p>
    <w:p w14:paraId="32C8905D" w14:textId="0C9C671F" w:rsidR="00A501AC" w:rsidRPr="009B4183" w:rsidRDefault="008813AE" w:rsidP="008813AE">
      <w:pPr>
        <w:pStyle w:val="ListParagraph"/>
        <w:numPr>
          <w:ilvl w:val="1"/>
          <w:numId w:val="21"/>
        </w:numPr>
      </w:pPr>
      <w:r w:rsidRPr="009B4183">
        <w:t>Member is less than 18 years of age and has had a reduction in BMI of at least 5% from baseline</w:t>
      </w:r>
    </w:p>
    <w:p w14:paraId="784D6ED7" w14:textId="12CBEB46" w:rsidR="008B1332" w:rsidRPr="00B1653B" w:rsidRDefault="00B65538" w:rsidP="001F5AA4">
      <w:pPr>
        <w:pStyle w:val="Heading2"/>
        <w:keepNext w:val="0"/>
        <w:tabs>
          <w:tab w:val="clear" w:pos="2880"/>
          <w:tab w:val="left" w:pos="9560"/>
        </w:tabs>
        <w:rPr>
          <w:vertAlign w:val="superscript"/>
        </w:rPr>
      </w:pPr>
      <w:r w:rsidRPr="00BD1CC1">
        <w:t>Appendix</w:t>
      </w:r>
      <w:r w:rsidR="00E1533A">
        <w:rPr>
          <w:vertAlign w:val="superscript"/>
        </w:rPr>
        <w:t>3</w:t>
      </w:r>
    </w:p>
    <w:p w14:paraId="5D685EB6" w14:textId="69CC5475" w:rsidR="008813AE" w:rsidRPr="008813AE" w:rsidRDefault="008813AE" w:rsidP="00B1653B">
      <w:pPr>
        <w:pStyle w:val="Heading3"/>
      </w:pPr>
      <w:r w:rsidRPr="008813AE">
        <w:lastRenderedPageBreak/>
        <w:t>Beales Diagnostic Criteria</w:t>
      </w:r>
    </w:p>
    <w:p w14:paraId="0806473C" w14:textId="77777777" w:rsidR="008813AE" w:rsidRPr="008813AE" w:rsidRDefault="008813AE" w:rsidP="00B1653B">
      <w:pPr>
        <w:pStyle w:val="Heading4"/>
      </w:pPr>
      <w:r w:rsidRPr="008813AE">
        <w:t>Primary features</w:t>
      </w:r>
    </w:p>
    <w:p w14:paraId="73E77779" w14:textId="2E059BC4" w:rsidR="008813AE" w:rsidRPr="008813AE" w:rsidRDefault="008813AE" w:rsidP="00B1653B">
      <w:pPr>
        <w:pStyle w:val="ListParagraph"/>
      </w:pPr>
      <w:r w:rsidRPr="008813AE">
        <w:t>Rod-cone dystrophy</w:t>
      </w:r>
    </w:p>
    <w:p w14:paraId="11DF6362" w14:textId="28357529" w:rsidR="008813AE" w:rsidRPr="008813AE" w:rsidRDefault="008813AE" w:rsidP="00B1653B">
      <w:pPr>
        <w:pStyle w:val="ListParagraph"/>
      </w:pPr>
      <w:r w:rsidRPr="008813AE">
        <w:t>Polydactyly</w:t>
      </w:r>
    </w:p>
    <w:p w14:paraId="41F454FB" w14:textId="25DC8043" w:rsidR="008813AE" w:rsidRPr="008813AE" w:rsidRDefault="008813AE" w:rsidP="00B1653B">
      <w:pPr>
        <w:pStyle w:val="ListParagraph"/>
      </w:pPr>
      <w:r w:rsidRPr="008813AE">
        <w:t>Obesity</w:t>
      </w:r>
    </w:p>
    <w:p w14:paraId="556D0BBB" w14:textId="17314011" w:rsidR="008813AE" w:rsidRPr="008813AE" w:rsidRDefault="008813AE" w:rsidP="00B1653B">
      <w:pPr>
        <w:pStyle w:val="ListParagraph"/>
      </w:pPr>
      <w:r w:rsidRPr="008813AE">
        <w:t>Learning disability</w:t>
      </w:r>
    </w:p>
    <w:p w14:paraId="5367EA03" w14:textId="577388B7" w:rsidR="008813AE" w:rsidRPr="008813AE" w:rsidRDefault="008813AE" w:rsidP="00B1653B">
      <w:pPr>
        <w:pStyle w:val="ListParagraph"/>
      </w:pPr>
      <w:r w:rsidRPr="008813AE">
        <w:t>Hypogonadism in males</w:t>
      </w:r>
    </w:p>
    <w:p w14:paraId="54895034" w14:textId="0650CBB2" w:rsidR="008813AE" w:rsidRPr="008813AE" w:rsidRDefault="008813AE" w:rsidP="00B1653B">
      <w:pPr>
        <w:pStyle w:val="ListParagraph"/>
      </w:pPr>
      <w:r w:rsidRPr="008813AE">
        <w:t>Renal abnormalities</w:t>
      </w:r>
    </w:p>
    <w:p w14:paraId="32D6AFEF" w14:textId="77777777" w:rsidR="008813AE" w:rsidRPr="008813AE" w:rsidRDefault="008813AE" w:rsidP="00B1653B">
      <w:pPr>
        <w:pStyle w:val="Heading4"/>
      </w:pPr>
      <w:r w:rsidRPr="008813AE">
        <w:t>Secondary features</w:t>
      </w:r>
    </w:p>
    <w:p w14:paraId="712843E1" w14:textId="64A31EC3" w:rsidR="008813AE" w:rsidRPr="008813AE" w:rsidRDefault="008813AE" w:rsidP="00B1653B">
      <w:pPr>
        <w:pStyle w:val="ListParagraph"/>
      </w:pPr>
      <w:r w:rsidRPr="008813AE">
        <w:t>Speech disorder/delay</w:t>
      </w:r>
    </w:p>
    <w:p w14:paraId="30C109B2" w14:textId="60E01A65" w:rsidR="008813AE" w:rsidRPr="008813AE" w:rsidRDefault="008813AE" w:rsidP="00B1653B">
      <w:pPr>
        <w:pStyle w:val="ListParagraph"/>
      </w:pPr>
      <w:r w:rsidRPr="008813AE">
        <w:t>Strabismus/cataracts/astigmatism</w:t>
      </w:r>
    </w:p>
    <w:p w14:paraId="789DCE59" w14:textId="106182B0" w:rsidR="008813AE" w:rsidRPr="008813AE" w:rsidRDefault="008813AE" w:rsidP="00B1653B">
      <w:pPr>
        <w:pStyle w:val="ListParagraph"/>
      </w:pPr>
      <w:r w:rsidRPr="008813AE">
        <w:t>Brachydactyly/syndactyly</w:t>
      </w:r>
    </w:p>
    <w:p w14:paraId="5902209F" w14:textId="07DF664B" w:rsidR="008813AE" w:rsidRPr="008813AE" w:rsidRDefault="008813AE" w:rsidP="00B1653B">
      <w:pPr>
        <w:pStyle w:val="ListParagraph"/>
      </w:pPr>
      <w:r w:rsidRPr="008813AE">
        <w:t>Developmental delay</w:t>
      </w:r>
    </w:p>
    <w:p w14:paraId="41AA4A01" w14:textId="77777777" w:rsidR="008813AE" w:rsidRPr="0041120F" w:rsidRDefault="008813AE" w:rsidP="00B1653B">
      <w:pPr>
        <w:pStyle w:val="ListParagraph"/>
        <w:rPr>
          <w:lang w:val="it-IT"/>
        </w:rPr>
      </w:pPr>
      <w:r w:rsidRPr="0041120F">
        <w:rPr>
          <w:lang w:val="it-IT"/>
        </w:rPr>
        <w:t>Polyuria/polydipsia (nephrogenic diabetes insipidus)</w:t>
      </w:r>
    </w:p>
    <w:p w14:paraId="3CE5E4D3" w14:textId="2064023F" w:rsidR="008813AE" w:rsidRPr="008813AE" w:rsidRDefault="008813AE" w:rsidP="00B1653B">
      <w:pPr>
        <w:pStyle w:val="ListParagraph"/>
      </w:pPr>
      <w:r w:rsidRPr="008813AE">
        <w:t>Ataxia/poor coordination/imbalance</w:t>
      </w:r>
    </w:p>
    <w:p w14:paraId="5A885209" w14:textId="37B6EACD" w:rsidR="008813AE" w:rsidRPr="008813AE" w:rsidRDefault="008813AE" w:rsidP="00B1653B">
      <w:pPr>
        <w:pStyle w:val="ListParagraph"/>
      </w:pPr>
      <w:r w:rsidRPr="008813AE">
        <w:t>Mild spasticity (especially lower limbs)</w:t>
      </w:r>
    </w:p>
    <w:p w14:paraId="3AC005E0" w14:textId="7F5A91FC" w:rsidR="008813AE" w:rsidRPr="008813AE" w:rsidRDefault="008813AE" w:rsidP="00B1653B">
      <w:pPr>
        <w:pStyle w:val="ListParagraph"/>
      </w:pPr>
      <w:r w:rsidRPr="008813AE">
        <w:t>Diabetes mellitus</w:t>
      </w:r>
    </w:p>
    <w:p w14:paraId="73AE3DB6" w14:textId="509F76BE" w:rsidR="008813AE" w:rsidRPr="008813AE" w:rsidRDefault="008813AE" w:rsidP="00B1653B">
      <w:pPr>
        <w:pStyle w:val="ListParagraph"/>
      </w:pPr>
      <w:r w:rsidRPr="008813AE">
        <w:t>Dental crowding/hypodontia/small roots/high arched palate</w:t>
      </w:r>
    </w:p>
    <w:p w14:paraId="7E825910" w14:textId="109B3D27" w:rsidR="008813AE" w:rsidRPr="008813AE" w:rsidRDefault="008813AE" w:rsidP="00B1653B">
      <w:pPr>
        <w:pStyle w:val="ListParagraph"/>
      </w:pPr>
      <w:r w:rsidRPr="008813AE">
        <w:t>Left ventricular hypertrophy/congenital heart disease</w:t>
      </w:r>
    </w:p>
    <w:p w14:paraId="1074CC61" w14:textId="699FB505" w:rsidR="004172BF" w:rsidRPr="008813AE" w:rsidRDefault="008813AE" w:rsidP="00B1653B">
      <w:pPr>
        <w:pStyle w:val="ListParagraph"/>
      </w:pPr>
      <w:r w:rsidRPr="008813AE">
        <w:t>Hepatic fibrosis</w:t>
      </w:r>
    </w:p>
    <w:p w14:paraId="10DA4309" w14:textId="4428BADD" w:rsidR="00FF66BF" w:rsidRPr="008D1B34" w:rsidRDefault="00FF66BF" w:rsidP="00FF66BF">
      <w:pPr>
        <w:pStyle w:val="Heading2"/>
      </w:pPr>
      <w:r w:rsidRPr="008D1B34">
        <w:t>References</w:t>
      </w:r>
    </w:p>
    <w:p w14:paraId="4253F5AD" w14:textId="4D445E98" w:rsidR="008813AE" w:rsidRDefault="008813AE" w:rsidP="008813AE">
      <w:pPr>
        <w:pStyle w:val="ReferenceOrdered"/>
      </w:pPr>
      <w:r>
        <w:t>Imcivree [package insert]. Boston, MA: Rhythm Pharmaceuticals, Inc</w:t>
      </w:r>
      <w:r w:rsidR="001750E3">
        <w:t>.</w:t>
      </w:r>
      <w:r>
        <w:t xml:space="preserve">; </w:t>
      </w:r>
      <w:r w:rsidR="004C5B47">
        <w:t xml:space="preserve">December </w:t>
      </w:r>
      <w:r>
        <w:t>202</w:t>
      </w:r>
      <w:r w:rsidR="004C5B47">
        <w:t>4</w:t>
      </w:r>
      <w:r>
        <w:t>.</w:t>
      </w:r>
    </w:p>
    <w:p w14:paraId="2A04D660" w14:textId="77777777" w:rsidR="008813AE" w:rsidRDefault="008813AE" w:rsidP="008813AE">
      <w:pPr>
        <w:pStyle w:val="ReferenceOrdered"/>
      </w:pPr>
      <w:r w:rsidRPr="00563CBD">
        <w:rPr>
          <w:lang w:val="nb-NO"/>
        </w:rPr>
        <w:t xml:space="preserve">Clément K, van den Akker E, Argente J, et al. </w:t>
      </w:r>
      <w:r>
        <w:t xml:space="preserve">Efficacy and safety of setmelanotide, an MC4R agonist, in individuals with severe obesity due to LEPR or POMC deficiency: single-arm, open-label, </w:t>
      </w:r>
      <w:proofErr w:type="spellStart"/>
      <w:r>
        <w:t>multicentre</w:t>
      </w:r>
      <w:proofErr w:type="spellEnd"/>
      <w:r>
        <w:t>, phase 3 trials. Lancet Diabetes Endocrinol. 2020;8(12):960-970. doi:10.1016/S2213-8587(20)30364-8</w:t>
      </w:r>
    </w:p>
    <w:p w14:paraId="26E25A0F" w14:textId="0B6DC529" w:rsidR="00FF66BF" w:rsidRDefault="008813AE" w:rsidP="008813AE">
      <w:pPr>
        <w:pStyle w:val="ReferenceOrdered"/>
      </w:pPr>
      <w:r>
        <w:t xml:space="preserve">Beales P, </w:t>
      </w:r>
      <w:proofErr w:type="spellStart"/>
      <w:r>
        <w:t>Elcioglu</w:t>
      </w:r>
      <w:proofErr w:type="spellEnd"/>
      <w:r>
        <w:t xml:space="preserve"> N, Woolf AS, et al. New criteria for improved diagnosis of Bardet-Biedl syndrome: results of a population survey. J Med Genet. 1999;36(6):437-446.</w:t>
      </w:r>
    </w:p>
    <w:p w14:paraId="0F5A6798" w14:textId="0F7DB272" w:rsidR="009327AA" w:rsidRDefault="0012545E" w:rsidP="008813AE">
      <w:pPr>
        <w:pStyle w:val="ReferenceOrdered"/>
      </w:pPr>
      <w:proofErr w:type="spellStart"/>
      <w:r>
        <w:t>Argente</w:t>
      </w:r>
      <w:proofErr w:type="spellEnd"/>
      <w:r>
        <w:t xml:space="preserve"> J, Verge CF, Okorie U, </w:t>
      </w:r>
      <w:r w:rsidR="002B71CD">
        <w:t xml:space="preserve">et al. Setmelanotide in patients aged 2-5 years with rare MC4R pathway-associated obesity (VENTURE): a 1 year, open-label, multicenter, phase 3 trial. </w:t>
      </w:r>
      <w:r w:rsidR="004B5F37">
        <w:t xml:space="preserve">Lancet Diabetes </w:t>
      </w:r>
      <w:proofErr w:type="spellStart"/>
      <w:r w:rsidR="004B5F37">
        <w:t>Nedocrinol</w:t>
      </w:r>
      <w:proofErr w:type="spellEnd"/>
      <w:r w:rsidR="003B73AE">
        <w:t>.</w:t>
      </w:r>
      <w:r w:rsidR="004B5F37">
        <w:t xml:space="preserve"> 2025;13:29-37.</w:t>
      </w:r>
    </w:p>
    <w:sectPr w:rsidR="009327AA" w:rsidSect="005C4721">
      <w:type w:val="continuous"/>
      <w:pgSz w:w="12240" w:h="15840" w:code="1"/>
      <w:pgMar w:top="900" w:right="720" w:bottom="990" w:left="720" w:header="720" w:footer="416"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9193D" w14:textId="77777777" w:rsidR="00DC36D1" w:rsidRDefault="00DC36D1">
      <w:r>
        <w:separator/>
      </w:r>
    </w:p>
  </w:endnote>
  <w:endnote w:type="continuationSeparator" w:id="0">
    <w:p w14:paraId="1AD22471" w14:textId="77777777" w:rsidR="00DC36D1" w:rsidRDefault="00DC36D1">
      <w:r>
        <w:continuationSeparator/>
      </w:r>
    </w:p>
  </w:endnote>
  <w:endnote w:type="continuationNotice" w:id="1">
    <w:p w14:paraId="6EE9F804" w14:textId="77777777" w:rsidR="00DC36D1" w:rsidRDefault="00DC3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390C30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9214D" w:rsidRPr="0029214D">
      <w:rPr>
        <w:rFonts w:cs="Arial"/>
        <w:noProof/>
        <w:sz w:val="16"/>
        <w:szCs w:val="16"/>
      </w:rPr>
      <w:t>Imcivree</w:t>
    </w:r>
    <w:r w:rsidR="0029214D">
      <w:rPr>
        <w:rFonts w:cs="Arial"/>
        <w:noProof/>
        <w:snapToGrid w:val="0"/>
        <w:color w:val="000000"/>
        <w:sz w:val="16"/>
        <w:szCs w:val="16"/>
      </w:rPr>
      <w:t xml:space="preserve"> SGM 4378-A</w:t>
    </w:r>
    <w:r w:rsidR="0029214D" w:rsidRPr="0029214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6130D4">
      <w:rPr>
        <w:rFonts w:cs="Arial"/>
        <w:snapToGrid w:val="0"/>
        <w:color w:val="000000"/>
        <w:sz w:val="16"/>
      </w:rPr>
      <w:t>5</w:t>
    </w:r>
    <w:r w:rsidRPr="00EC47B6">
      <w:rPr>
        <w:rFonts w:cs="Arial"/>
        <w:snapToGrid w:val="0"/>
        <w:color w:val="000000"/>
        <w:sz w:val="16"/>
      </w:rPr>
      <w:t xml:space="preserve"> CVS Caremark. All rights reserved.</w:t>
    </w:r>
  </w:p>
  <w:p w14:paraId="61CF5924" w14:textId="50CCF76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0092A4F" w:rsidR="00F75C81" w:rsidRPr="00AA1E6A" w:rsidRDefault="00C36B72" w:rsidP="00275B7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636190B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9214D" w:rsidRPr="0029214D">
      <w:rPr>
        <w:rFonts w:cs="Arial"/>
        <w:noProof/>
        <w:sz w:val="16"/>
        <w:szCs w:val="16"/>
      </w:rPr>
      <w:t>Imcivree</w:t>
    </w:r>
    <w:r w:rsidR="0029214D">
      <w:rPr>
        <w:rFonts w:cs="Arial"/>
        <w:noProof/>
        <w:snapToGrid w:val="0"/>
        <w:color w:val="000000"/>
        <w:sz w:val="16"/>
        <w:szCs w:val="16"/>
      </w:rPr>
      <w:t xml:space="preserve"> SGM 4378-A</w:t>
    </w:r>
    <w:r w:rsidR="0029214D" w:rsidRPr="0029214D">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034019">
      <w:rPr>
        <w:rFonts w:cs="Arial"/>
        <w:snapToGrid w:val="0"/>
        <w:color w:val="000000"/>
        <w:sz w:val="16"/>
      </w:rPr>
      <w:t>5</w:t>
    </w:r>
    <w:r w:rsidRPr="00EC47B6">
      <w:rPr>
        <w:rFonts w:cs="Arial"/>
        <w:snapToGrid w:val="0"/>
        <w:color w:val="000000"/>
        <w:sz w:val="16"/>
      </w:rPr>
      <w:t xml:space="preserve"> CVS Caremark. All rights reserved.</w:t>
    </w:r>
  </w:p>
  <w:p w14:paraId="39BFE579" w14:textId="7777777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 xml:space="preserve">. </w:t>
    </w:r>
  </w:p>
  <w:p w14:paraId="64F317B8" w14:textId="7A939708" w:rsidR="00ED04EC" w:rsidRPr="00034019" w:rsidRDefault="00F50D98" w:rsidP="00034019">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1B334" w14:textId="77777777" w:rsidR="00DC36D1" w:rsidRDefault="00DC36D1">
      <w:r>
        <w:separator/>
      </w:r>
    </w:p>
  </w:footnote>
  <w:footnote w:type="continuationSeparator" w:id="0">
    <w:p w14:paraId="5AFE0A51" w14:textId="77777777" w:rsidR="00DC36D1" w:rsidRDefault="00DC36D1">
      <w:r>
        <w:continuationSeparator/>
      </w:r>
    </w:p>
  </w:footnote>
  <w:footnote w:type="continuationNotice" w:id="1">
    <w:p w14:paraId="22117184" w14:textId="77777777" w:rsidR="00DC36D1" w:rsidRDefault="00DC36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5C4721" w:rsidRPr="00BD1CC1" w14:paraId="47214171" w14:textId="77777777" w:rsidTr="00A66B83">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764427" w14:textId="77777777" w:rsidR="005C4721" w:rsidRPr="00EC47B6" w:rsidRDefault="005C4721" w:rsidP="005C4721">
          <w:pPr>
            <w:pStyle w:val="RefTableData"/>
          </w:pPr>
          <w:r w:rsidRPr="00F246C7">
            <w:t>Reference number(s</w:t>
          </w:r>
          <w:r w:rsidRPr="00EC47B6">
            <w:t>)</w:t>
          </w:r>
        </w:p>
      </w:tc>
    </w:tr>
    <w:tr w:rsidR="005C4721" w:rsidRPr="00BD1CC1" w14:paraId="46A143CD" w14:textId="77777777" w:rsidTr="00A66B83">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61D86B82" w14:textId="77777777" w:rsidR="005C4721" w:rsidRPr="00FF66BF" w:rsidRDefault="005C4721" w:rsidP="005C4721">
          <w:pPr>
            <w:pStyle w:val="RefTableHeader"/>
          </w:pPr>
          <w:r w:rsidRPr="00913253">
            <w:t>4378-A</w:t>
          </w:r>
        </w:p>
      </w:tc>
    </w:tr>
  </w:tbl>
  <w:p w14:paraId="6B9C52A9" w14:textId="77777777" w:rsidR="005C4721" w:rsidRPr="005C4721" w:rsidRDefault="005C4721">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4E2B71"/>
    <w:multiLevelType w:val="hybridMultilevel"/>
    <w:tmpl w:val="167AC68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A253D4"/>
    <w:multiLevelType w:val="multilevel"/>
    <w:tmpl w:val="24402482"/>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79738A6"/>
    <w:multiLevelType w:val="hybridMultilevel"/>
    <w:tmpl w:val="AE2EA3E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66E0146"/>
    <w:multiLevelType w:val="hybridMultilevel"/>
    <w:tmpl w:val="214A957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1AE0F13"/>
    <w:multiLevelType w:val="hybridMultilevel"/>
    <w:tmpl w:val="4DF2AE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3AE4E85"/>
    <w:multiLevelType w:val="multilevel"/>
    <w:tmpl w:val="1FF0AC80"/>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A165B2"/>
    <w:multiLevelType w:val="hybridMultilevel"/>
    <w:tmpl w:val="588698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F5623F"/>
    <w:multiLevelType w:val="hybridMultilevel"/>
    <w:tmpl w:val="9C447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BC0EB3"/>
    <w:multiLevelType w:val="hybridMultilevel"/>
    <w:tmpl w:val="3BCE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9F76D0"/>
    <w:multiLevelType w:val="multilevel"/>
    <w:tmpl w:val="F9D872E4"/>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2DC19AC"/>
    <w:multiLevelType w:val="multilevel"/>
    <w:tmpl w:val="5D0851C8"/>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6F37A30"/>
    <w:multiLevelType w:val="hybridMultilevel"/>
    <w:tmpl w:val="367CB6D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9991B8F"/>
    <w:multiLevelType w:val="hybridMultilevel"/>
    <w:tmpl w:val="C5F4982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1C5C4D"/>
    <w:multiLevelType w:val="hybridMultilevel"/>
    <w:tmpl w:val="A66C024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A7BCA"/>
    <w:multiLevelType w:val="hybridMultilevel"/>
    <w:tmpl w:val="A524CB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F0374FD"/>
    <w:multiLevelType w:val="hybridMultilevel"/>
    <w:tmpl w:val="D3AC1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6"/>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2"/>
  </w:num>
  <w:num w:numId="17" w16cid:durableId="2128498676">
    <w:abstractNumId w:val="39"/>
  </w:num>
  <w:num w:numId="18" w16cid:durableId="299724409">
    <w:abstractNumId w:val="33"/>
  </w:num>
  <w:num w:numId="19" w16cid:durableId="214585573">
    <w:abstractNumId w:val="16"/>
  </w:num>
  <w:num w:numId="20" w16cid:durableId="1289816170">
    <w:abstractNumId w:val="17"/>
  </w:num>
  <w:num w:numId="21" w16cid:durableId="1066490929">
    <w:abstractNumId w:val="41"/>
  </w:num>
  <w:num w:numId="22" w16cid:durableId="1472481103">
    <w:abstractNumId w:val="35"/>
  </w:num>
  <w:num w:numId="23" w16cid:durableId="1997420403">
    <w:abstractNumId w:val="37"/>
  </w:num>
  <w:num w:numId="24" w16cid:durableId="33312838">
    <w:abstractNumId w:val="34"/>
  </w:num>
  <w:num w:numId="25" w16cid:durableId="507404939">
    <w:abstractNumId w:val="21"/>
  </w:num>
  <w:num w:numId="26" w16cid:durableId="1950313333">
    <w:abstractNumId w:val="26"/>
  </w:num>
  <w:num w:numId="27" w16cid:durableId="1866016584">
    <w:abstractNumId w:val="24"/>
  </w:num>
  <w:num w:numId="28" w16cid:durableId="817919471">
    <w:abstractNumId w:val="13"/>
  </w:num>
  <w:num w:numId="29" w16cid:durableId="1309936109">
    <w:abstractNumId w:val="29"/>
  </w:num>
  <w:num w:numId="30" w16cid:durableId="924269083">
    <w:abstractNumId w:val="27"/>
  </w:num>
  <w:num w:numId="31" w16cid:durableId="2072994908">
    <w:abstractNumId w:val="15"/>
  </w:num>
  <w:num w:numId="32" w16cid:durableId="469135781">
    <w:abstractNumId w:val="20"/>
  </w:num>
  <w:num w:numId="33" w16cid:durableId="1910262138">
    <w:abstractNumId w:val="42"/>
  </w:num>
  <w:num w:numId="34" w16cid:durableId="1845435511">
    <w:abstractNumId w:val="19"/>
  </w:num>
  <w:num w:numId="35" w16cid:durableId="2039040486">
    <w:abstractNumId w:val="25"/>
  </w:num>
  <w:num w:numId="36" w16cid:durableId="455561044">
    <w:abstractNumId w:val="18"/>
  </w:num>
  <w:num w:numId="37" w16cid:durableId="1187865642">
    <w:abstractNumId w:val="40"/>
  </w:num>
  <w:num w:numId="38" w16cid:durableId="518200025">
    <w:abstractNumId w:val="30"/>
  </w:num>
  <w:num w:numId="39" w16cid:durableId="1456557956">
    <w:abstractNumId w:val="23"/>
  </w:num>
  <w:num w:numId="40" w16cid:durableId="1551958052">
    <w:abstractNumId w:val="31"/>
  </w:num>
  <w:num w:numId="41" w16cid:durableId="1523399316">
    <w:abstractNumId w:val="11"/>
  </w:num>
  <w:num w:numId="42" w16cid:durableId="1626958387">
    <w:abstractNumId w:val="32"/>
  </w:num>
  <w:num w:numId="43" w16cid:durableId="1346440651">
    <w:abstractNumId w:val="38"/>
  </w:num>
  <w:num w:numId="44" w16cid:durableId="18051986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B69"/>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C2C"/>
    <w:rsid w:val="00017E2F"/>
    <w:rsid w:val="00017EE8"/>
    <w:rsid w:val="000200D2"/>
    <w:rsid w:val="000203D2"/>
    <w:rsid w:val="00020F76"/>
    <w:rsid w:val="0002111C"/>
    <w:rsid w:val="00021A0A"/>
    <w:rsid w:val="00021C51"/>
    <w:rsid w:val="00021F62"/>
    <w:rsid w:val="00022D21"/>
    <w:rsid w:val="0002338D"/>
    <w:rsid w:val="00024BB4"/>
    <w:rsid w:val="00024E30"/>
    <w:rsid w:val="000255D0"/>
    <w:rsid w:val="0002595C"/>
    <w:rsid w:val="00026803"/>
    <w:rsid w:val="000273F0"/>
    <w:rsid w:val="00030714"/>
    <w:rsid w:val="00030C13"/>
    <w:rsid w:val="00030CF7"/>
    <w:rsid w:val="000311EC"/>
    <w:rsid w:val="000314B5"/>
    <w:rsid w:val="000315F1"/>
    <w:rsid w:val="000318EA"/>
    <w:rsid w:val="0003203C"/>
    <w:rsid w:val="00032275"/>
    <w:rsid w:val="00032659"/>
    <w:rsid w:val="00032924"/>
    <w:rsid w:val="00034019"/>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1693"/>
    <w:rsid w:val="00062816"/>
    <w:rsid w:val="00064347"/>
    <w:rsid w:val="00064396"/>
    <w:rsid w:val="00065AC6"/>
    <w:rsid w:val="00066D4B"/>
    <w:rsid w:val="0006765E"/>
    <w:rsid w:val="00067732"/>
    <w:rsid w:val="0006774C"/>
    <w:rsid w:val="00070758"/>
    <w:rsid w:val="00070C48"/>
    <w:rsid w:val="000717F6"/>
    <w:rsid w:val="000719EB"/>
    <w:rsid w:val="00071A7F"/>
    <w:rsid w:val="0007286F"/>
    <w:rsid w:val="00072C75"/>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AB5"/>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F8"/>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86F"/>
    <w:rsid w:val="000D4EA4"/>
    <w:rsid w:val="000D5101"/>
    <w:rsid w:val="000D5978"/>
    <w:rsid w:val="000D5A5D"/>
    <w:rsid w:val="000D5D4B"/>
    <w:rsid w:val="000D7ED8"/>
    <w:rsid w:val="000E0438"/>
    <w:rsid w:val="000E095D"/>
    <w:rsid w:val="000E0C62"/>
    <w:rsid w:val="000E24FA"/>
    <w:rsid w:val="000E2ECC"/>
    <w:rsid w:val="000E37E4"/>
    <w:rsid w:val="000E3A1B"/>
    <w:rsid w:val="000E3DD4"/>
    <w:rsid w:val="000E50AC"/>
    <w:rsid w:val="000E65C5"/>
    <w:rsid w:val="000E6D53"/>
    <w:rsid w:val="000E7263"/>
    <w:rsid w:val="000E7B01"/>
    <w:rsid w:val="000E7C60"/>
    <w:rsid w:val="000F0AC9"/>
    <w:rsid w:val="000F1039"/>
    <w:rsid w:val="000F12A2"/>
    <w:rsid w:val="000F1C81"/>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5CDA"/>
    <w:rsid w:val="00107394"/>
    <w:rsid w:val="001074E7"/>
    <w:rsid w:val="001075C1"/>
    <w:rsid w:val="00107B1D"/>
    <w:rsid w:val="00110AF8"/>
    <w:rsid w:val="00110B38"/>
    <w:rsid w:val="00110DE3"/>
    <w:rsid w:val="00110F57"/>
    <w:rsid w:val="00111842"/>
    <w:rsid w:val="001120B7"/>
    <w:rsid w:val="00113A6A"/>
    <w:rsid w:val="0011411C"/>
    <w:rsid w:val="00115519"/>
    <w:rsid w:val="001155D7"/>
    <w:rsid w:val="001156BC"/>
    <w:rsid w:val="001159B3"/>
    <w:rsid w:val="0011622E"/>
    <w:rsid w:val="00117495"/>
    <w:rsid w:val="0011772F"/>
    <w:rsid w:val="001202DD"/>
    <w:rsid w:val="00121BD0"/>
    <w:rsid w:val="00121F7F"/>
    <w:rsid w:val="00122472"/>
    <w:rsid w:val="001244EB"/>
    <w:rsid w:val="0012545E"/>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568"/>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1036"/>
    <w:rsid w:val="00173AB9"/>
    <w:rsid w:val="00173BB9"/>
    <w:rsid w:val="001747DB"/>
    <w:rsid w:val="00174F3B"/>
    <w:rsid w:val="001750E3"/>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1ED4"/>
    <w:rsid w:val="001923F2"/>
    <w:rsid w:val="00192769"/>
    <w:rsid w:val="001928EE"/>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387"/>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5AA4"/>
    <w:rsid w:val="001F6065"/>
    <w:rsid w:val="001F629F"/>
    <w:rsid w:val="001F6363"/>
    <w:rsid w:val="001F6373"/>
    <w:rsid w:val="001F6F6F"/>
    <w:rsid w:val="001F771D"/>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4E"/>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317"/>
    <w:rsid w:val="00223B3B"/>
    <w:rsid w:val="002243D0"/>
    <w:rsid w:val="002244E4"/>
    <w:rsid w:val="00224DC4"/>
    <w:rsid w:val="00225455"/>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0C8B"/>
    <w:rsid w:val="0024185D"/>
    <w:rsid w:val="002423DE"/>
    <w:rsid w:val="00242E29"/>
    <w:rsid w:val="00242F54"/>
    <w:rsid w:val="00243017"/>
    <w:rsid w:val="0024305D"/>
    <w:rsid w:val="00244442"/>
    <w:rsid w:val="002445A3"/>
    <w:rsid w:val="0024498F"/>
    <w:rsid w:val="002504F9"/>
    <w:rsid w:val="00250C39"/>
    <w:rsid w:val="00250E25"/>
    <w:rsid w:val="00251EE2"/>
    <w:rsid w:val="00252134"/>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16B"/>
    <w:rsid w:val="0026630E"/>
    <w:rsid w:val="0026796B"/>
    <w:rsid w:val="00267A90"/>
    <w:rsid w:val="002708AE"/>
    <w:rsid w:val="00271357"/>
    <w:rsid w:val="00272160"/>
    <w:rsid w:val="00272D78"/>
    <w:rsid w:val="0027305A"/>
    <w:rsid w:val="00273E66"/>
    <w:rsid w:val="00273FEB"/>
    <w:rsid w:val="002754FA"/>
    <w:rsid w:val="00275B74"/>
    <w:rsid w:val="00276114"/>
    <w:rsid w:val="0027617A"/>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14D"/>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4A7F"/>
    <w:rsid w:val="002B6A94"/>
    <w:rsid w:val="002B71CD"/>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0E74"/>
    <w:rsid w:val="00341929"/>
    <w:rsid w:val="00341F47"/>
    <w:rsid w:val="00342365"/>
    <w:rsid w:val="00342C7F"/>
    <w:rsid w:val="00343BE2"/>
    <w:rsid w:val="00343E90"/>
    <w:rsid w:val="00345D48"/>
    <w:rsid w:val="003468AA"/>
    <w:rsid w:val="00346D5D"/>
    <w:rsid w:val="00347C02"/>
    <w:rsid w:val="00350DF1"/>
    <w:rsid w:val="00350FF0"/>
    <w:rsid w:val="003524E5"/>
    <w:rsid w:val="00352959"/>
    <w:rsid w:val="00352B5E"/>
    <w:rsid w:val="00352BC7"/>
    <w:rsid w:val="003543BE"/>
    <w:rsid w:val="00354AE7"/>
    <w:rsid w:val="00354CFD"/>
    <w:rsid w:val="00355509"/>
    <w:rsid w:val="00355DCF"/>
    <w:rsid w:val="003569BC"/>
    <w:rsid w:val="003608FE"/>
    <w:rsid w:val="00360F75"/>
    <w:rsid w:val="00361AEE"/>
    <w:rsid w:val="00362C3D"/>
    <w:rsid w:val="00362CE9"/>
    <w:rsid w:val="00363EF7"/>
    <w:rsid w:val="00363F55"/>
    <w:rsid w:val="0036404E"/>
    <w:rsid w:val="00364436"/>
    <w:rsid w:val="003649B7"/>
    <w:rsid w:val="00364A41"/>
    <w:rsid w:val="00364AC1"/>
    <w:rsid w:val="00364CF9"/>
    <w:rsid w:val="003654A7"/>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3FAE"/>
    <w:rsid w:val="00384ACA"/>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7AD"/>
    <w:rsid w:val="00395A71"/>
    <w:rsid w:val="00396A5B"/>
    <w:rsid w:val="00396D00"/>
    <w:rsid w:val="003A0693"/>
    <w:rsid w:val="003A2056"/>
    <w:rsid w:val="003A45F3"/>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3AE"/>
    <w:rsid w:val="003B7DE9"/>
    <w:rsid w:val="003C1EA0"/>
    <w:rsid w:val="003C2846"/>
    <w:rsid w:val="003C2DBA"/>
    <w:rsid w:val="003C2F46"/>
    <w:rsid w:val="003C3B92"/>
    <w:rsid w:val="003C3EB1"/>
    <w:rsid w:val="003C47E1"/>
    <w:rsid w:val="003C4CD4"/>
    <w:rsid w:val="003C54E8"/>
    <w:rsid w:val="003C66DD"/>
    <w:rsid w:val="003C6EB7"/>
    <w:rsid w:val="003C6ED6"/>
    <w:rsid w:val="003C7530"/>
    <w:rsid w:val="003C7EFF"/>
    <w:rsid w:val="003D0BBA"/>
    <w:rsid w:val="003D1191"/>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89D"/>
    <w:rsid w:val="003E3F3B"/>
    <w:rsid w:val="003E4C87"/>
    <w:rsid w:val="003E54DE"/>
    <w:rsid w:val="003E57BF"/>
    <w:rsid w:val="003E6FC2"/>
    <w:rsid w:val="003E7191"/>
    <w:rsid w:val="003E7944"/>
    <w:rsid w:val="003F057E"/>
    <w:rsid w:val="003F1304"/>
    <w:rsid w:val="003F14A6"/>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20F"/>
    <w:rsid w:val="00411413"/>
    <w:rsid w:val="004127A0"/>
    <w:rsid w:val="00412ABD"/>
    <w:rsid w:val="00412C14"/>
    <w:rsid w:val="00413801"/>
    <w:rsid w:val="00413861"/>
    <w:rsid w:val="0041471C"/>
    <w:rsid w:val="004154F5"/>
    <w:rsid w:val="0041567E"/>
    <w:rsid w:val="004159B2"/>
    <w:rsid w:val="00416163"/>
    <w:rsid w:val="004172BF"/>
    <w:rsid w:val="00420227"/>
    <w:rsid w:val="00420545"/>
    <w:rsid w:val="00420E1B"/>
    <w:rsid w:val="00420EE4"/>
    <w:rsid w:val="00421305"/>
    <w:rsid w:val="00421F32"/>
    <w:rsid w:val="0042209A"/>
    <w:rsid w:val="0042222E"/>
    <w:rsid w:val="00422416"/>
    <w:rsid w:val="004226CD"/>
    <w:rsid w:val="00422766"/>
    <w:rsid w:val="004236F4"/>
    <w:rsid w:val="00423C96"/>
    <w:rsid w:val="00425453"/>
    <w:rsid w:val="004260D4"/>
    <w:rsid w:val="004260DE"/>
    <w:rsid w:val="0042761F"/>
    <w:rsid w:val="00427B15"/>
    <w:rsid w:val="00430B2F"/>
    <w:rsid w:val="004310B9"/>
    <w:rsid w:val="00431634"/>
    <w:rsid w:val="00431A2D"/>
    <w:rsid w:val="00431D2B"/>
    <w:rsid w:val="00431EB7"/>
    <w:rsid w:val="00433A31"/>
    <w:rsid w:val="00433E3A"/>
    <w:rsid w:val="00433EE2"/>
    <w:rsid w:val="004357BB"/>
    <w:rsid w:val="00435A60"/>
    <w:rsid w:val="00435A99"/>
    <w:rsid w:val="00437BFC"/>
    <w:rsid w:val="00437D53"/>
    <w:rsid w:val="004405EB"/>
    <w:rsid w:val="0044080D"/>
    <w:rsid w:val="00440CEF"/>
    <w:rsid w:val="004414EF"/>
    <w:rsid w:val="00441BD2"/>
    <w:rsid w:val="004421AD"/>
    <w:rsid w:val="00442B17"/>
    <w:rsid w:val="0044300A"/>
    <w:rsid w:val="004438A7"/>
    <w:rsid w:val="00444336"/>
    <w:rsid w:val="00444A6A"/>
    <w:rsid w:val="00444D7F"/>
    <w:rsid w:val="0044563B"/>
    <w:rsid w:val="00445A5F"/>
    <w:rsid w:val="00445F97"/>
    <w:rsid w:val="00446742"/>
    <w:rsid w:val="00446920"/>
    <w:rsid w:val="00446A96"/>
    <w:rsid w:val="00446C00"/>
    <w:rsid w:val="00446DE9"/>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B2B"/>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512"/>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48B"/>
    <w:rsid w:val="00491AAF"/>
    <w:rsid w:val="00492DA6"/>
    <w:rsid w:val="004932BB"/>
    <w:rsid w:val="00493AED"/>
    <w:rsid w:val="00494054"/>
    <w:rsid w:val="00494B52"/>
    <w:rsid w:val="00495ADE"/>
    <w:rsid w:val="0049611C"/>
    <w:rsid w:val="00497D66"/>
    <w:rsid w:val="004A0605"/>
    <w:rsid w:val="004A0803"/>
    <w:rsid w:val="004A0F44"/>
    <w:rsid w:val="004A1F3C"/>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853"/>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5F37"/>
    <w:rsid w:val="004B66A7"/>
    <w:rsid w:val="004B758F"/>
    <w:rsid w:val="004C00B9"/>
    <w:rsid w:val="004C03AC"/>
    <w:rsid w:val="004C0A3F"/>
    <w:rsid w:val="004C32BE"/>
    <w:rsid w:val="004C3F91"/>
    <w:rsid w:val="004C4493"/>
    <w:rsid w:val="004C45E2"/>
    <w:rsid w:val="004C4D0C"/>
    <w:rsid w:val="004C53B2"/>
    <w:rsid w:val="004C5B47"/>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5979"/>
    <w:rsid w:val="004D67AC"/>
    <w:rsid w:val="004D696E"/>
    <w:rsid w:val="004D77D8"/>
    <w:rsid w:val="004E0DA9"/>
    <w:rsid w:val="004E16CE"/>
    <w:rsid w:val="004E197E"/>
    <w:rsid w:val="004E1CD5"/>
    <w:rsid w:val="004E1EEE"/>
    <w:rsid w:val="004E407D"/>
    <w:rsid w:val="004E4FB7"/>
    <w:rsid w:val="004E563C"/>
    <w:rsid w:val="004E5711"/>
    <w:rsid w:val="004E69C5"/>
    <w:rsid w:val="004E6C9B"/>
    <w:rsid w:val="004E6FA5"/>
    <w:rsid w:val="004F0131"/>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4E4"/>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955"/>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155"/>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BD"/>
    <w:rsid w:val="00563CD8"/>
    <w:rsid w:val="005648F5"/>
    <w:rsid w:val="00564AA4"/>
    <w:rsid w:val="00564B99"/>
    <w:rsid w:val="00564D4C"/>
    <w:rsid w:val="00564E51"/>
    <w:rsid w:val="00565367"/>
    <w:rsid w:val="00565A82"/>
    <w:rsid w:val="00565D50"/>
    <w:rsid w:val="00566202"/>
    <w:rsid w:val="00566784"/>
    <w:rsid w:val="00566B03"/>
    <w:rsid w:val="00566D18"/>
    <w:rsid w:val="00567075"/>
    <w:rsid w:val="0056761E"/>
    <w:rsid w:val="0056763A"/>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173E"/>
    <w:rsid w:val="005A32D3"/>
    <w:rsid w:val="005A33BD"/>
    <w:rsid w:val="005A34C8"/>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BC0"/>
    <w:rsid w:val="005C2C21"/>
    <w:rsid w:val="005C3B4F"/>
    <w:rsid w:val="005C44D1"/>
    <w:rsid w:val="005C472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5083"/>
    <w:rsid w:val="00606DBB"/>
    <w:rsid w:val="006077A7"/>
    <w:rsid w:val="00607959"/>
    <w:rsid w:val="0060798E"/>
    <w:rsid w:val="00610F93"/>
    <w:rsid w:val="00610FBE"/>
    <w:rsid w:val="006130D4"/>
    <w:rsid w:val="00613278"/>
    <w:rsid w:val="006138E0"/>
    <w:rsid w:val="00613BFA"/>
    <w:rsid w:val="00614799"/>
    <w:rsid w:val="00615D0E"/>
    <w:rsid w:val="0061673E"/>
    <w:rsid w:val="00617744"/>
    <w:rsid w:val="00617893"/>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0EAF"/>
    <w:rsid w:val="00631305"/>
    <w:rsid w:val="00631F71"/>
    <w:rsid w:val="006328A6"/>
    <w:rsid w:val="00633181"/>
    <w:rsid w:val="0063336C"/>
    <w:rsid w:val="00633471"/>
    <w:rsid w:val="00633B1C"/>
    <w:rsid w:val="00633C00"/>
    <w:rsid w:val="006349A7"/>
    <w:rsid w:val="00634B4B"/>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017"/>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78"/>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991"/>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3DA"/>
    <w:rsid w:val="00685620"/>
    <w:rsid w:val="00685E5D"/>
    <w:rsid w:val="0068667E"/>
    <w:rsid w:val="00687C15"/>
    <w:rsid w:val="006909A7"/>
    <w:rsid w:val="006913AD"/>
    <w:rsid w:val="006917AF"/>
    <w:rsid w:val="006919C1"/>
    <w:rsid w:val="0069283D"/>
    <w:rsid w:val="00692A50"/>
    <w:rsid w:val="00693683"/>
    <w:rsid w:val="00693B34"/>
    <w:rsid w:val="00694B18"/>
    <w:rsid w:val="00694B30"/>
    <w:rsid w:val="00694B8A"/>
    <w:rsid w:val="00694C2D"/>
    <w:rsid w:val="00696693"/>
    <w:rsid w:val="00697304"/>
    <w:rsid w:val="006A04A9"/>
    <w:rsid w:val="006A1D42"/>
    <w:rsid w:val="006A29D6"/>
    <w:rsid w:val="006A2EC3"/>
    <w:rsid w:val="006A37C9"/>
    <w:rsid w:val="006A3CFD"/>
    <w:rsid w:val="006A3F40"/>
    <w:rsid w:val="006A4B91"/>
    <w:rsid w:val="006A790B"/>
    <w:rsid w:val="006A7B7D"/>
    <w:rsid w:val="006B01F7"/>
    <w:rsid w:val="006B1A2B"/>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2155"/>
    <w:rsid w:val="006C3252"/>
    <w:rsid w:val="006C48F6"/>
    <w:rsid w:val="006C519A"/>
    <w:rsid w:val="006C52D4"/>
    <w:rsid w:val="006C5786"/>
    <w:rsid w:val="006C584B"/>
    <w:rsid w:val="006D00F3"/>
    <w:rsid w:val="006D03BF"/>
    <w:rsid w:val="006D0FA8"/>
    <w:rsid w:val="006D1263"/>
    <w:rsid w:val="006D171C"/>
    <w:rsid w:val="006D21AA"/>
    <w:rsid w:val="006D23BA"/>
    <w:rsid w:val="006D24CA"/>
    <w:rsid w:val="006D2770"/>
    <w:rsid w:val="006D341B"/>
    <w:rsid w:val="006D3542"/>
    <w:rsid w:val="006D4EA6"/>
    <w:rsid w:val="006D618E"/>
    <w:rsid w:val="006D62DA"/>
    <w:rsid w:val="006D662E"/>
    <w:rsid w:val="006D66E8"/>
    <w:rsid w:val="006D6E11"/>
    <w:rsid w:val="006D6FA0"/>
    <w:rsid w:val="006D7B94"/>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4A"/>
    <w:rsid w:val="006F6AD5"/>
    <w:rsid w:val="006F7127"/>
    <w:rsid w:val="00700342"/>
    <w:rsid w:val="007006E7"/>
    <w:rsid w:val="00700E1B"/>
    <w:rsid w:val="00701964"/>
    <w:rsid w:val="00701BB0"/>
    <w:rsid w:val="00702357"/>
    <w:rsid w:val="00702DB8"/>
    <w:rsid w:val="007034B1"/>
    <w:rsid w:val="00703C67"/>
    <w:rsid w:val="007061F8"/>
    <w:rsid w:val="00706B11"/>
    <w:rsid w:val="00706FB2"/>
    <w:rsid w:val="00707218"/>
    <w:rsid w:val="007074F5"/>
    <w:rsid w:val="00707B74"/>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36E6E"/>
    <w:rsid w:val="0074014C"/>
    <w:rsid w:val="00741656"/>
    <w:rsid w:val="0074207B"/>
    <w:rsid w:val="00742164"/>
    <w:rsid w:val="007425D5"/>
    <w:rsid w:val="007434DC"/>
    <w:rsid w:val="0074407C"/>
    <w:rsid w:val="007443EA"/>
    <w:rsid w:val="007444A8"/>
    <w:rsid w:val="0074476D"/>
    <w:rsid w:val="00744C0E"/>
    <w:rsid w:val="0074539C"/>
    <w:rsid w:val="00745752"/>
    <w:rsid w:val="00746DB0"/>
    <w:rsid w:val="007473CD"/>
    <w:rsid w:val="00747C35"/>
    <w:rsid w:val="00751072"/>
    <w:rsid w:val="00751334"/>
    <w:rsid w:val="00752352"/>
    <w:rsid w:val="007526DB"/>
    <w:rsid w:val="0075276C"/>
    <w:rsid w:val="00752827"/>
    <w:rsid w:val="00752956"/>
    <w:rsid w:val="00753B12"/>
    <w:rsid w:val="00753CC1"/>
    <w:rsid w:val="007547EA"/>
    <w:rsid w:val="00754A73"/>
    <w:rsid w:val="00755454"/>
    <w:rsid w:val="0075604E"/>
    <w:rsid w:val="00757AC7"/>
    <w:rsid w:val="00760B2C"/>
    <w:rsid w:val="007622EA"/>
    <w:rsid w:val="007627F6"/>
    <w:rsid w:val="00762AE4"/>
    <w:rsid w:val="00762DDD"/>
    <w:rsid w:val="007631BB"/>
    <w:rsid w:val="0076417D"/>
    <w:rsid w:val="00764B38"/>
    <w:rsid w:val="00765BBE"/>
    <w:rsid w:val="00766061"/>
    <w:rsid w:val="007704F3"/>
    <w:rsid w:val="007710F2"/>
    <w:rsid w:val="007716E9"/>
    <w:rsid w:val="00773060"/>
    <w:rsid w:val="00773513"/>
    <w:rsid w:val="0077365E"/>
    <w:rsid w:val="007741BD"/>
    <w:rsid w:val="0077473F"/>
    <w:rsid w:val="00775C9E"/>
    <w:rsid w:val="00775F82"/>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A7A40"/>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1BB4"/>
    <w:rsid w:val="007C29E1"/>
    <w:rsid w:val="007C2CEC"/>
    <w:rsid w:val="007C3391"/>
    <w:rsid w:val="007C462F"/>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B88"/>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63"/>
    <w:rsid w:val="008445A6"/>
    <w:rsid w:val="00844E79"/>
    <w:rsid w:val="008465D2"/>
    <w:rsid w:val="00850792"/>
    <w:rsid w:val="0085298F"/>
    <w:rsid w:val="00852EFD"/>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5DE0"/>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3AE"/>
    <w:rsid w:val="00881BD7"/>
    <w:rsid w:val="00881C65"/>
    <w:rsid w:val="008820AF"/>
    <w:rsid w:val="008828CA"/>
    <w:rsid w:val="00882AD4"/>
    <w:rsid w:val="00882C00"/>
    <w:rsid w:val="00882E5B"/>
    <w:rsid w:val="00882EAF"/>
    <w:rsid w:val="00885021"/>
    <w:rsid w:val="00885294"/>
    <w:rsid w:val="008853F8"/>
    <w:rsid w:val="00885EAA"/>
    <w:rsid w:val="0088607D"/>
    <w:rsid w:val="00886C30"/>
    <w:rsid w:val="00886F70"/>
    <w:rsid w:val="00887099"/>
    <w:rsid w:val="008870EA"/>
    <w:rsid w:val="00887663"/>
    <w:rsid w:val="00887E71"/>
    <w:rsid w:val="00890CE6"/>
    <w:rsid w:val="00891958"/>
    <w:rsid w:val="00892A08"/>
    <w:rsid w:val="008943CF"/>
    <w:rsid w:val="008944C3"/>
    <w:rsid w:val="008945D6"/>
    <w:rsid w:val="00894C27"/>
    <w:rsid w:val="00895C0F"/>
    <w:rsid w:val="00895FE5"/>
    <w:rsid w:val="00896FAB"/>
    <w:rsid w:val="008973E6"/>
    <w:rsid w:val="00897778"/>
    <w:rsid w:val="00897A39"/>
    <w:rsid w:val="00897BD4"/>
    <w:rsid w:val="008A088B"/>
    <w:rsid w:val="008A08A4"/>
    <w:rsid w:val="008A0E05"/>
    <w:rsid w:val="008A15EC"/>
    <w:rsid w:val="008A409D"/>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9C2"/>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3A8"/>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3253"/>
    <w:rsid w:val="00914B83"/>
    <w:rsid w:val="009159E4"/>
    <w:rsid w:val="009166D3"/>
    <w:rsid w:val="00916BA8"/>
    <w:rsid w:val="00917A62"/>
    <w:rsid w:val="0092167E"/>
    <w:rsid w:val="00921E32"/>
    <w:rsid w:val="00921E89"/>
    <w:rsid w:val="00922097"/>
    <w:rsid w:val="009220E9"/>
    <w:rsid w:val="00922DD4"/>
    <w:rsid w:val="00923BE9"/>
    <w:rsid w:val="00923E67"/>
    <w:rsid w:val="00923E96"/>
    <w:rsid w:val="00924AA3"/>
    <w:rsid w:val="00924B04"/>
    <w:rsid w:val="009255FA"/>
    <w:rsid w:val="00925647"/>
    <w:rsid w:val="00925705"/>
    <w:rsid w:val="0092652E"/>
    <w:rsid w:val="00926589"/>
    <w:rsid w:val="0092691D"/>
    <w:rsid w:val="00927612"/>
    <w:rsid w:val="00927737"/>
    <w:rsid w:val="00930F9F"/>
    <w:rsid w:val="00930FF5"/>
    <w:rsid w:val="00931D1D"/>
    <w:rsid w:val="00931D32"/>
    <w:rsid w:val="009323E1"/>
    <w:rsid w:val="009324A8"/>
    <w:rsid w:val="00932532"/>
    <w:rsid w:val="009327AA"/>
    <w:rsid w:val="00934A46"/>
    <w:rsid w:val="00934DDA"/>
    <w:rsid w:val="00935BC3"/>
    <w:rsid w:val="00937266"/>
    <w:rsid w:val="0094067D"/>
    <w:rsid w:val="00940AA9"/>
    <w:rsid w:val="00941264"/>
    <w:rsid w:val="0094143E"/>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322E"/>
    <w:rsid w:val="009832E9"/>
    <w:rsid w:val="0098421C"/>
    <w:rsid w:val="009844BA"/>
    <w:rsid w:val="00984D28"/>
    <w:rsid w:val="009857F1"/>
    <w:rsid w:val="00985A7D"/>
    <w:rsid w:val="00985EC8"/>
    <w:rsid w:val="00985F93"/>
    <w:rsid w:val="00986BF8"/>
    <w:rsid w:val="00986C82"/>
    <w:rsid w:val="009911F3"/>
    <w:rsid w:val="00991319"/>
    <w:rsid w:val="0099311D"/>
    <w:rsid w:val="00993552"/>
    <w:rsid w:val="00993CD7"/>
    <w:rsid w:val="00993E0D"/>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4183"/>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247D"/>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045F"/>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3FCD"/>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767"/>
    <w:rsid w:val="00A7382E"/>
    <w:rsid w:val="00A73BA2"/>
    <w:rsid w:val="00A73F3E"/>
    <w:rsid w:val="00A7400C"/>
    <w:rsid w:val="00A74222"/>
    <w:rsid w:val="00A74387"/>
    <w:rsid w:val="00A74A95"/>
    <w:rsid w:val="00A7520F"/>
    <w:rsid w:val="00A75525"/>
    <w:rsid w:val="00A75835"/>
    <w:rsid w:val="00A75DAC"/>
    <w:rsid w:val="00A76771"/>
    <w:rsid w:val="00A778F3"/>
    <w:rsid w:val="00A77B7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96E79"/>
    <w:rsid w:val="00AA0497"/>
    <w:rsid w:val="00AA0955"/>
    <w:rsid w:val="00AA164D"/>
    <w:rsid w:val="00AA1E6A"/>
    <w:rsid w:val="00AA2744"/>
    <w:rsid w:val="00AA2A94"/>
    <w:rsid w:val="00AA3F55"/>
    <w:rsid w:val="00AA46E5"/>
    <w:rsid w:val="00AA46E6"/>
    <w:rsid w:val="00AA4E3C"/>
    <w:rsid w:val="00AA5FEE"/>
    <w:rsid w:val="00AA6624"/>
    <w:rsid w:val="00AA6E94"/>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BE3"/>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CAA"/>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63D"/>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55F5"/>
    <w:rsid w:val="00B05771"/>
    <w:rsid w:val="00B06462"/>
    <w:rsid w:val="00B06E83"/>
    <w:rsid w:val="00B07922"/>
    <w:rsid w:val="00B10E8F"/>
    <w:rsid w:val="00B1104E"/>
    <w:rsid w:val="00B113E6"/>
    <w:rsid w:val="00B12088"/>
    <w:rsid w:val="00B128A7"/>
    <w:rsid w:val="00B12D39"/>
    <w:rsid w:val="00B137E7"/>
    <w:rsid w:val="00B14A97"/>
    <w:rsid w:val="00B14DD8"/>
    <w:rsid w:val="00B15017"/>
    <w:rsid w:val="00B155C3"/>
    <w:rsid w:val="00B1618D"/>
    <w:rsid w:val="00B1653B"/>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20F"/>
    <w:rsid w:val="00B33563"/>
    <w:rsid w:val="00B3404B"/>
    <w:rsid w:val="00B34094"/>
    <w:rsid w:val="00B343F3"/>
    <w:rsid w:val="00B34FE4"/>
    <w:rsid w:val="00B36321"/>
    <w:rsid w:val="00B4086C"/>
    <w:rsid w:val="00B40FC0"/>
    <w:rsid w:val="00B4119D"/>
    <w:rsid w:val="00B42A6D"/>
    <w:rsid w:val="00B42F63"/>
    <w:rsid w:val="00B43D43"/>
    <w:rsid w:val="00B46136"/>
    <w:rsid w:val="00B461DF"/>
    <w:rsid w:val="00B463D7"/>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69FE"/>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08A"/>
    <w:rsid w:val="00B97115"/>
    <w:rsid w:val="00B976D7"/>
    <w:rsid w:val="00BA02AD"/>
    <w:rsid w:val="00BA06AE"/>
    <w:rsid w:val="00BA11F3"/>
    <w:rsid w:val="00BA1328"/>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6FA"/>
    <w:rsid w:val="00BD589A"/>
    <w:rsid w:val="00BD5D53"/>
    <w:rsid w:val="00BD672B"/>
    <w:rsid w:val="00BD6ED4"/>
    <w:rsid w:val="00BE0818"/>
    <w:rsid w:val="00BE0FC3"/>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17DEC"/>
    <w:rsid w:val="00C207A9"/>
    <w:rsid w:val="00C20852"/>
    <w:rsid w:val="00C20865"/>
    <w:rsid w:val="00C20CF2"/>
    <w:rsid w:val="00C2120D"/>
    <w:rsid w:val="00C218B6"/>
    <w:rsid w:val="00C21B28"/>
    <w:rsid w:val="00C21D3B"/>
    <w:rsid w:val="00C22262"/>
    <w:rsid w:val="00C229E9"/>
    <w:rsid w:val="00C22F9B"/>
    <w:rsid w:val="00C24064"/>
    <w:rsid w:val="00C243EA"/>
    <w:rsid w:val="00C247A9"/>
    <w:rsid w:val="00C24E3E"/>
    <w:rsid w:val="00C25AA7"/>
    <w:rsid w:val="00C25E83"/>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0D69"/>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071"/>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C8C"/>
    <w:rsid w:val="00C87D04"/>
    <w:rsid w:val="00C903CD"/>
    <w:rsid w:val="00C9046D"/>
    <w:rsid w:val="00C904DC"/>
    <w:rsid w:val="00C9304D"/>
    <w:rsid w:val="00C9309A"/>
    <w:rsid w:val="00C93551"/>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9CA"/>
    <w:rsid w:val="00CA1C61"/>
    <w:rsid w:val="00CA1FC9"/>
    <w:rsid w:val="00CA22D7"/>
    <w:rsid w:val="00CA273C"/>
    <w:rsid w:val="00CA4298"/>
    <w:rsid w:val="00CA43AA"/>
    <w:rsid w:val="00CA5586"/>
    <w:rsid w:val="00CA59F7"/>
    <w:rsid w:val="00CA6801"/>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3F45"/>
    <w:rsid w:val="00CD4084"/>
    <w:rsid w:val="00CD59BF"/>
    <w:rsid w:val="00CD6E3C"/>
    <w:rsid w:val="00CD74BA"/>
    <w:rsid w:val="00CE0B55"/>
    <w:rsid w:val="00CE0E3E"/>
    <w:rsid w:val="00CE12A6"/>
    <w:rsid w:val="00CE1968"/>
    <w:rsid w:val="00CE1CC9"/>
    <w:rsid w:val="00CE2909"/>
    <w:rsid w:val="00CE317E"/>
    <w:rsid w:val="00CE409F"/>
    <w:rsid w:val="00CE4870"/>
    <w:rsid w:val="00CE5AA5"/>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4DF"/>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3FAA"/>
    <w:rsid w:val="00D440EC"/>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514"/>
    <w:rsid w:val="00D566EA"/>
    <w:rsid w:val="00D56FC3"/>
    <w:rsid w:val="00D578A8"/>
    <w:rsid w:val="00D57F5E"/>
    <w:rsid w:val="00D6162B"/>
    <w:rsid w:val="00D638D9"/>
    <w:rsid w:val="00D64807"/>
    <w:rsid w:val="00D6549B"/>
    <w:rsid w:val="00D65533"/>
    <w:rsid w:val="00D665CC"/>
    <w:rsid w:val="00D67252"/>
    <w:rsid w:val="00D70C19"/>
    <w:rsid w:val="00D71176"/>
    <w:rsid w:val="00D7147B"/>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0D9B"/>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0FF"/>
    <w:rsid w:val="00DA29A1"/>
    <w:rsid w:val="00DA2BE1"/>
    <w:rsid w:val="00DA3C5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36D1"/>
    <w:rsid w:val="00DC46DA"/>
    <w:rsid w:val="00DC4F07"/>
    <w:rsid w:val="00DC500B"/>
    <w:rsid w:val="00DC54A4"/>
    <w:rsid w:val="00DC5E7C"/>
    <w:rsid w:val="00DC693A"/>
    <w:rsid w:val="00DC7643"/>
    <w:rsid w:val="00DC7B0D"/>
    <w:rsid w:val="00DC7CBE"/>
    <w:rsid w:val="00DD09F4"/>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0597"/>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33A"/>
    <w:rsid w:val="00E1542D"/>
    <w:rsid w:val="00E159FD"/>
    <w:rsid w:val="00E15EC4"/>
    <w:rsid w:val="00E165CF"/>
    <w:rsid w:val="00E166ED"/>
    <w:rsid w:val="00E1699F"/>
    <w:rsid w:val="00E1748B"/>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98E"/>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5B9"/>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02D"/>
    <w:rsid w:val="00EA11B8"/>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269"/>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5FB3"/>
    <w:rsid w:val="00ED6038"/>
    <w:rsid w:val="00ED653F"/>
    <w:rsid w:val="00ED6550"/>
    <w:rsid w:val="00ED748E"/>
    <w:rsid w:val="00ED7D4A"/>
    <w:rsid w:val="00EE02E3"/>
    <w:rsid w:val="00EE07BA"/>
    <w:rsid w:val="00EE0D34"/>
    <w:rsid w:val="00EE1515"/>
    <w:rsid w:val="00EE2060"/>
    <w:rsid w:val="00EE27CF"/>
    <w:rsid w:val="00EE2BF1"/>
    <w:rsid w:val="00EE34FA"/>
    <w:rsid w:val="00EE4446"/>
    <w:rsid w:val="00EE50CE"/>
    <w:rsid w:val="00EE5CD7"/>
    <w:rsid w:val="00EE6B14"/>
    <w:rsid w:val="00EE781A"/>
    <w:rsid w:val="00EE7A7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CEA"/>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C47"/>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6ADD"/>
    <w:rsid w:val="00F67E40"/>
    <w:rsid w:val="00F70605"/>
    <w:rsid w:val="00F70900"/>
    <w:rsid w:val="00F70D49"/>
    <w:rsid w:val="00F718A3"/>
    <w:rsid w:val="00F71DC9"/>
    <w:rsid w:val="00F729CF"/>
    <w:rsid w:val="00F72FC2"/>
    <w:rsid w:val="00F749A8"/>
    <w:rsid w:val="00F74F32"/>
    <w:rsid w:val="00F75C81"/>
    <w:rsid w:val="00F75F10"/>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3C54"/>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496"/>
    <w:rsid w:val="00FD75BC"/>
    <w:rsid w:val="00FD7AB8"/>
    <w:rsid w:val="00FD7BB7"/>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1997"/>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F696359D-BC50-4F6A-8B0B-2CB5F0ECD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5789">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41070416">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45279871">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696542786">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823066">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0513649">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74733382">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55865426">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642511">
      <w:bodyDiv w:val="1"/>
      <w:marLeft w:val="0"/>
      <w:marRight w:val="0"/>
      <w:marTop w:val="0"/>
      <w:marBottom w:val="0"/>
      <w:divBdr>
        <w:top w:val="none" w:sz="0" w:space="0" w:color="auto"/>
        <w:left w:val="none" w:sz="0" w:space="0" w:color="auto"/>
        <w:bottom w:val="none" w:sz="0" w:space="0" w:color="auto"/>
        <w:right w:val="none" w:sz="0" w:space="0" w:color="auto"/>
      </w:divBdr>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20647576">
      <w:bodyDiv w:val="1"/>
      <w:marLeft w:val="0"/>
      <w:marRight w:val="0"/>
      <w:marTop w:val="0"/>
      <w:marBottom w:val="0"/>
      <w:divBdr>
        <w:top w:val="none" w:sz="0" w:space="0" w:color="auto"/>
        <w:left w:val="none" w:sz="0" w:space="0" w:color="auto"/>
        <w:bottom w:val="none" w:sz="0" w:space="0" w:color="auto"/>
        <w:right w:val="none" w:sz="0" w:space="0" w:color="auto"/>
      </w:divBdr>
    </w:div>
    <w:div w:id="1390180996">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0355653">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42348240">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5450372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F4C3C-6E8B-4A21-933A-514A0B6EC2E6}"/>
</file>

<file path=customXml/itemProps2.xml><?xml version="1.0" encoding="utf-8"?>
<ds:datastoreItem xmlns:ds="http://schemas.openxmlformats.org/officeDocument/2006/customXml" ds:itemID="{A243CFE1-08DE-432F-83DD-4933F5F97812}">
  <ds:schemaRefs>
    <ds:schemaRef ds:uri="http://schemas.openxmlformats.org/package/2006/metadata/core-properties"/>
    <ds:schemaRef ds:uri="ce173f13-e3a2-4c5f-8c54-d0382ae88016"/>
    <ds:schemaRef ds:uri="http://purl.org/dc/terms/"/>
    <ds:schemaRef ds:uri="http://schemas.microsoft.com/office/infopath/2007/PartnerControls"/>
    <ds:schemaRef ds:uri="http://schemas.microsoft.com/office/2006/documentManagement/types"/>
    <ds:schemaRef ds:uri="http://schemas.microsoft.com/office/2006/metadata/properties"/>
    <ds:schemaRef ds:uri="102fadf2-6cae-45bc-95f6-bc2613b98572"/>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1016</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Imcivree 4378-A SGM 2024</vt:lpstr>
    </vt:vector>
  </TitlesOfParts>
  <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Imcivree SGM 4378-A</dc:title>
  <dc:subject/>
  <dc:creator>CVS Caremark</dc:creator>
  <cp:keywords/>
  <cp:lastModifiedBy>Ortiz, Erica M</cp:lastModifiedBy>
  <cp:revision>3</cp:revision>
  <cp:lastPrinted>2024-04-17T09:15:00Z</cp:lastPrinted>
  <dcterms:created xsi:type="dcterms:W3CDTF">2025-06-02T17:21:00Z</dcterms:created>
  <dcterms:modified xsi:type="dcterms:W3CDTF">2025-06-02T17:22:00Z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739100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